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51</w:t>
            </w:r>
            <w:r>
              <w:rPr>
                <w:rFonts w:hint="eastAsia"/>
              </w:rPr>
              <w:t>04</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w:t>
      </w:r>
      <w:r>
        <w:rPr>
          <w:rFonts w:hint="eastAsia" w:ascii="黑体" w:eastAsia="黑体"/>
          <w:b w:val="0"/>
          <w:w w:val="100"/>
          <w:sz w:val="48"/>
          <w:lang w:eastAsia="zh-CN"/>
        </w:rPr>
        <w:t>攀枝花市</w:t>
      </w:r>
      <w:r>
        <w:rPr>
          <w:rFonts w:hint="eastAsia" w:ascii="黑体" w:eastAsia="黑体"/>
          <w:b w:val="0"/>
          <w:w w:val="100"/>
          <w:sz w:val="48"/>
        </w:rPr>
        <w:t>）</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FgAAAGRycy9QSwECFAAUAAAACACHTuJAJ4NJltgA&#10;AAAMAQAADwAAAAAAAAABACAAAAA4AAAAZHJzL2Rvd25yZXYueG1sUEsBAhQAFAAAAAgAh07iQOoQ&#10;p33QAQAAbwMAAA4AAAAAAAAAAQAgAAAAPQEAAGRycy9lMm9Eb2MueG1sUEsFBgAAAAAGAAYAWQEA&#10;AH8FA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病媒生物密度控制要求</w:t>
      </w:r>
      <w:r>
        <w:rPr>
          <w:rFonts w:hint="eastAsia"/>
          <w:lang w:val="en-US" w:eastAsia="zh-CN"/>
        </w:rPr>
        <w:t xml:space="preserve"> </w:t>
      </w:r>
      <w:r>
        <w:rPr>
          <w:rFonts w:hint="eastAsia"/>
        </w:rPr>
        <w:t>康养场所</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Requirements for vector density control  Place for health-preservationandrehabilitation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四川省市场监督管理局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qzMc+9cAAAAO&#10;AQAADwAAAAAAAAABACAAAAA4AAAAZHJzL2Rvd25yZXYueG1sUEsBAhQAFAAAAAgAh07iQGSNHbPO&#10;AQAAbQMAAA4AAAAAAAAAAQAgAAAAPAEAAGRycy9lMm9Eb2MueG1sUEsFBgAAAAAGAAYAWQEAAHwF&#10;AAAAAA==&#10;">
                <v:fill on="f" focussize="0,0"/>
                <v:stroke color="#000000" joinstyle="round"/>
                <v:imagedata o:title=""/>
                <o:lock v:ext="edit" aspectratio="f"/>
                <w10:anchorlock/>
              </v:line>
            </w:pict>
          </mc:Fallback>
        </mc:AlternateContent>
      </w:r>
    </w:p>
    <w:p>
      <w:pPr>
        <w:pStyle w:val="92"/>
        <w:spacing w:after="468"/>
      </w:pPr>
      <w:bookmarkStart w:id="21" w:name="BookMark1"/>
      <w:r>
        <w:rPr>
          <w:spacing w:val="320"/>
        </w:rPr>
        <w:t>目</w:t>
      </w:r>
      <w:r>
        <w:t>次</w:t>
      </w:r>
    </w:p>
    <w:p>
      <w:pPr>
        <w:pStyle w:val="19"/>
        <w:tabs>
          <w:tab w:val="right" w:leader="dot" w:pos="9354"/>
        </w:tabs>
      </w:pPr>
      <w:r>
        <w:fldChar w:fldCharType="begin"/>
      </w:r>
      <w:r>
        <w:instrText xml:space="preserve"> TOC \o "1-1" \h \t "标准文件_一级条标题,2,标准文件_附录一级条标题,2,"</w:instrText>
      </w:r>
      <w:r>
        <w:fldChar w:fldCharType="separate"/>
      </w:r>
      <w:r>
        <w:fldChar w:fldCharType="begin"/>
      </w:r>
      <w:r>
        <w:instrText xml:space="preserve"> HYPERLINK \l "_Toc14700" </w:instrText>
      </w:r>
      <w:r>
        <w:fldChar w:fldCharType="separate"/>
      </w:r>
      <w:r>
        <w:rPr>
          <w:spacing w:val="320"/>
        </w:rPr>
        <w:t>前</w:t>
      </w:r>
      <w:r>
        <w:t>言</w:t>
      </w:r>
      <w:r>
        <w:tab/>
      </w:r>
      <w:r>
        <w:fldChar w:fldCharType="begin"/>
      </w:r>
      <w:r>
        <w:instrText xml:space="preserve"> PAGEREF _Toc14700 \h </w:instrText>
      </w:r>
      <w:r>
        <w:fldChar w:fldCharType="separate"/>
      </w:r>
      <w:r>
        <w:t>II</w:t>
      </w:r>
      <w:r>
        <w:fldChar w:fldCharType="end"/>
      </w:r>
      <w:r>
        <w:fldChar w:fldCharType="end"/>
      </w:r>
    </w:p>
    <w:p>
      <w:pPr>
        <w:pStyle w:val="19"/>
        <w:tabs>
          <w:tab w:val="right" w:leader="dot" w:pos="9354"/>
        </w:tabs>
      </w:pPr>
      <w:r>
        <w:fldChar w:fldCharType="begin"/>
      </w:r>
      <w:r>
        <w:instrText xml:space="preserve"> HYPERLINK \l "_Toc9693" </w:instrText>
      </w:r>
      <w:r>
        <w:fldChar w:fldCharType="separate"/>
      </w:r>
      <w:r>
        <w:rPr>
          <w:rFonts w:hint="eastAsia" w:ascii="黑体" w:eastAsia="黑体"/>
        </w:rPr>
        <w:t xml:space="preserve">1 </w:t>
      </w:r>
      <w:r>
        <w:rPr>
          <w:rFonts w:hint="eastAsia"/>
        </w:rPr>
        <w:t>范围</w:t>
      </w:r>
      <w:r>
        <w:tab/>
      </w:r>
      <w:r>
        <w:fldChar w:fldCharType="begin"/>
      </w:r>
      <w:r>
        <w:instrText xml:space="preserve"> PAGEREF _Toc9693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"_Toc3323"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_Toc3323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"_Toc9404"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_Toc9404 \h </w:instrText>
      </w:r>
      <w:r>
        <w:fldChar w:fldCharType="separate"/>
      </w:r>
      <w:r>
        <w:t>3</w:t>
      </w:r>
      <w:r>
        <w:fldChar w:fldCharType="end"/>
      </w:r>
      <w:r>
        <w:fldChar w:fldCharType="end"/>
      </w:r>
    </w:p>
    <w:p>
      <w:pPr>
        <w:pStyle w:val="19"/>
        <w:tabs>
          <w:tab w:val="right" w:leader="dot" w:pos="9354"/>
        </w:tabs>
        <w:rPr>
          <w:rFonts w:hint="eastAsia"/>
        </w:rPr>
      </w:pPr>
      <w:r>
        <w:fldChar w:fldCharType="begin"/>
      </w:r>
      <w:r>
        <w:instrText xml:space="preserve"> HYPERLINK \l "_Toc4251" </w:instrText>
      </w:r>
      <w:r>
        <w:fldChar w:fldCharType="separate"/>
      </w:r>
      <w:r>
        <w:rPr>
          <w:rFonts w:hint="eastAsia" w:ascii="黑体" w:eastAsia="黑体"/>
        </w:rPr>
        <w:t xml:space="preserve">4 </w:t>
      </w:r>
      <w:r>
        <w:rPr>
          <w:rFonts w:hint="eastAsia"/>
        </w:rPr>
        <w:t>控制对象</w:t>
      </w:r>
      <w:r>
        <w:tab/>
      </w:r>
      <w:r>
        <w:fldChar w:fldCharType="begin"/>
      </w:r>
      <w:r>
        <w:instrText xml:space="preserve"> PAGEREF _Toc4251 \h </w:instrText>
      </w:r>
      <w:r>
        <w:fldChar w:fldCharType="separate"/>
      </w:r>
      <w:r>
        <w:t>4</w:t>
      </w:r>
      <w:r>
        <w:fldChar w:fldCharType="end"/>
      </w:r>
      <w:r>
        <w:fldChar w:fldCharType="end"/>
      </w:r>
    </w:p>
    <w:p>
      <w:r>
        <w:rPr>
          <w:rFonts w:hint="eastAsia"/>
        </w:rPr>
        <w:t xml:space="preserve">5 </w:t>
      </w:r>
      <w:r>
        <w:rPr>
          <w:rFonts w:hint="eastAsia" w:ascii="宋体"/>
        </w:rPr>
        <w:t>防制原则</w:t>
      </w:r>
    </w:p>
    <w:p>
      <w:pPr>
        <w:pStyle w:val="19"/>
        <w:tabs>
          <w:tab w:val="right" w:leader="dot" w:pos="9354"/>
        </w:tabs>
      </w:pPr>
      <w:r>
        <w:fldChar w:fldCharType="begin"/>
      </w:r>
      <w:r>
        <w:instrText xml:space="preserve"> HYPERLINK \l "_Toc3913" </w:instrText>
      </w:r>
      <w:r>
        <w:fldChar w:fldCharType="separate"/>
      </w:r>
      <w:r>
        <w:rPr>
          <w:rFonts w:hint="eastAsia" w:ascii="黑体" w:eastAsia="黑体"/>
        </w:rPr>
        <w:t xml:space="preserve">6 </w:t>
      </w:r>
      <w:r>
        <w:rPr>
          <w:rFonts w:hint="eastAsia"/>
        </w:rPr>
        <w:t>控制要求</w:t>
      </w:r>
      <w:r>
        <w:tab/>
      </w:r>
      <w:r>
        <w:fldChar w:fldCharType="begin"/>
      </w:r>
      <w:r>
        <w:instrText xml:space="preserve"> PAGEREF _Toc3913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"_Toc26909" </w:instrText>
      </w:r>
      <w:r>
        <w:fldChar w:fldCharType="separate"/>
      </w:r>
      <w:r>
        <w:rPr>
          <w:rFonts w:hint="eastAsia" w:ascii="黑体" w:hAnsi="Times New Roman" w:eastAsia="黑体"/>
          <w:kern w:val="0"/>
        </w:rPr>
        <w:t xml:space="preserve">6.1 </w:t>
      </w:r>
      <w:r>
        <w:rPr>
          <w:rFonts w:hint="eastAsia"/>
        </w:rPr>
        <w:t>环境治理</w:t>
      </w:r>
      <w:r>
        <w:tab/>
      </w:r>
      <w:r>
        <w:fldChar w:fldCharType="begin"/>
      </w:r>
      <w:r>
        <w:instrText xml:space="preserve"> PAGEREF _Toc26909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"_Toc22329" </w:instrText>
      </w:r>
      <w:r>
        <w:fldChar w:fldCharType="separate"/>
      </w:r>
      <w:r>
        <w:rPr>
          <w:rFonts w:hint="eastAsia" w:ascii="黑体" w:hAnsi="Times New Roman" w:eastAsia="黑体"/>
          <w:kern w:val="0"/>
        </w:rPr>
        <w:t xml:space="preserve">6.2 </w:t>
      </w:r>
      <w:r>
        <w:rPr>
          <w:rFonts w:hint="eastAsia"/>
        </w:rPr>
        <w:t>物理防制</w:t>
      </w:r>
      <w:r>
        <w:tab/>
      </w:r>
      <w:r>
        <w:fldChar w:fldCharType="begin"/>
      </w:r>
      <w:r>
        <w:instrText xml:space="preserve"> PAGEREF _Toc22329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"_Toc25232" </w:instrText>
      </w:r>
      <w:r>
        <w:fldChar w:fldCharType="separate"/>
      </w:r>
      <w:r>
        <w:rPr>
          <w:rFonts w:hint="eastAsia" w:ascii="黑体" w:hAnsi="Times New Roman" w:eastAsia="黑体"/>
          <w:kern w:val="0"/>
        </w:rPr>
        <w:t xml:space="preserve">6.3 </w:t>
      </w:r>
      <w:r>
        <w:rPr>
          <w:rFonts w:hint="eastAsia"/>
        </w:rPr>
        <w:t>化学防制</w:t>
      </w:r>
      <w:r>
        <w:tab/>
      </w:r>
      <w:r>
        <w:fldChar w:fldCharType="begin"/>
      </w:r>
      <w:r>
        <w:instrText xml:space="preserve"> PAGEREF _Toc25232 \h </w:instrText>
      </w:r>
      <w:r>
        <w:fldChar w:fldCharType="separate"/>
      </w:r>
      <w:r>
        <w:t>5</w:t>
      </w:r>
      <w:r>
        <w:fldChar w:fldCharType="end"/>
      </w:r>
      <w:r>
        <w:fldChar w:fldCharType="end"/>
      </w:r>
    </w:p>
    <w:p>
      <w:pPr>
        <w:pStyle w:val="19"/>
        <w:tabs>
          <w:tab w:val="right" w:leader="dot" w:pos="9354"/>
        </w:tabs>
      </w:pPr>
      <w:r>
        <w:fldChar w:fldCharType="begin"/>
      </w:r>
      <w:r>
        <w:instrText xml:space="preserve"> HYPERLINK \l "_Toc9789" </w:instrText>
      </w:r>
      <w:r>
        <w:fldChar w:fldCharType="separate"/>
      </w:r>
      <w:r>
        <w:rPr>
          <w:rFonts w:hint="eastAsia" w:ascii="黑体" w:eastAsia="黑体"/>
        </w:rPr>
        <w:t xml:space="preserve">7 </w:t>
      </w:r>
      <w:r>
        <w:rPr>
          <w:rFonts w:hint="eastAsia"/>
        </w:rPr>
        <w:t>控制指标</w:t>
      </w:r>
      <w:r>
        <w:tab/>
      </w:r>
      <w:r>
        <w:fldChar w:fldCharType="begin"/>
      </w:r>
      <w:r>
        <w:instrText xml:space="preserve"> PAGEREF _Toc9789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"_Toc13838" </w:instrText>
      </w:r>
      <w:r>
        <w:fldChar w:fldCharType="separate"/>
      </w:r>
      <w:r>
        <w:rPr>
          <w:rFonts w:hint="eastAsia" w:ascii="黑体" w:hAnsi="Times New Roman" w:eastAsia="黑体"/>
          <w:kern w:val="0"/>
        </w:rPr>
        <w:t xml:space="preserve">7.1 </w:t>
      </w:r>
      <w:r>
        <w:rPr>
          <w:rFonts w:hint="eastAsia"/>
        </w:rPr>
        <w:t>鼠类</w:t>
      </w:r>
      <w:r>
        <w:tab/>
      </w:r>
      <w:r>
        <w:fldChar w:fldCharType="begin"/>
      </w:r>
      <w:r>
        <w:instrText xml:space="preserve"> PAGEREF _Toc13838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"_Toc4671" </w:instrText>
      </w:r>
      <w:r>
        <w:fldChar w:fldCharType="separate"/>
      </w:r>
      <w:r>
        <w:rPr>
          <w:rFonts w:hint="eastAsia" w:ascii="黑体" w:hAnsi="Times New Roman" w:eastAsia="黑体"/>
          <w:kern w:val="0"/>
        </w:rPr>
        <w:t xml:space="preserve">7.2 </w:t>
      </w:r>
      <w:r>
        <w:rPr>
          <w:rFonts w:hint="eastAsia"/>
        </w:rPr>
        <w:t>蚊虫</w:t>
      </w:r>
      <w:r>
        <w:tab/>
      </w:r>
      <w:r>
        <w:fldChar w:fldCharType="begin"/>
      </w:r>
      <w:r>
        <w:instrText xml:space="preserve"> PAGEREF _Toc4671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"_Toc17967" </w:instrText>
      </w:r>
      <w:r>
        <w:fldChar w:fldCharType="separate"/>
      </w:r>
      <w:r>
        <w:rPr>
          <w:rFonts w:hint="eastAsia" w:ascii="黑体" w:hAnsi="Times New Roman" w:eastAsia="黑体"/>
          <w:kern w:val="0"/>
        </w:rPr>
        <w:t xml:space="preserve">7.3 </w:t>
      </w:r>
      <w:r>
        <w:rPr>
          <w:rFonts w:hint="eastAsia"/>
        </w:rPr>
        <w:t>蝇类</w:t>
      </w:r>
      <w:r>
        <w:tab/>
      </w:r>
      <w:r>
        <w:fldChar w:fldCharType="begin"/>
      </w:r>
      <w:r>
        <w:instrText xml:space="preserve"> PAGEREF _Toc17967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"_Toc20099" </w:instrText>
      </w:r>
      <w:r>
        <w:fldChar w:fldCharType="separate"/>
      </w:r>
      <w:r>
        <w:rPr>
          <w:rFonts w:hint="eastAsia" w:ascii="黑体" w:hAnsi="Times New Roman" w:eastAsia="黑体"/>
          <w:kern w:val="0"/>
        </w:rPr>
        <w:t xml:space="preserve">7.4 </w:t>
      </w:r>
      <w:r>
        <w:rPr>
          <w:rFonts w:hint="eastAsia"/>
        </w:rPr>
        <w:t>蜚蠊</w:t>
      </w:r>
      <w:r>
        <w:tab/>
      </w:r>
      <w:r>
        <w:fldChar w:fldCharType="begin"/>
      </w:r>
      <w:r>
        <w:instrText xml:space="preserve"> PAGEREF _Toc20099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"_Toc4105" </w:instrText>
      </w:r>
      <w:r>
        <w:fldChar w:fldCharType="separate"/>
      </w:r>
      <w:r>
        <w:rPr>
          <w:rFonts w:hint="eastAsia" w:ascii="黑体" w:hAnsi="Times New Roman" w:eastAsia="黑体"/>
          <w:kern w:val="0"/>
        </w:rPr>
        <w:t xml:space="preserve">7.5 </w:t>
      </w:r>
      <w:r>
        <w:rPr>
          <w:rFonts w:hint="eastAsia"/>
        </w:rPr>
        <w:t>蜱类</w:t>
      </w:r>
      <w:r>
        <w:tab/>
      </w:r>
      <w:r>
        <w:fldChar w:fldCharType="begin"/>
      </w:r>
      <w:r>
        <w:instrText xml:space="preserve"> PAGEREF _Toc4105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"_Toc10020" </w:instrText>
      </w:r>
      <w:r>
        <w:fldChar w:fldCharType="separate"/>
      </w:r>
      <w:r>
        <w:rPr>
          <w:rFonts w:hint="eastAsia" w:ascii="黑体" w:hAnsi="Times New Roman" w:eastAsia="黑体"/>
          <w:kern w:val="0"/>
        </w:rPr>
        <w:t xml:space="preserve">7.6 </w:t>
      </w:r>
      <w:r>
        <w:rPr>
          <w:rFonts w:hint="eastAsia"/>
        </w:rPr>
        <w:t>其它</w:t>
      </w:r>
      <w:r>
        <w:tab/>
      </w:r>
      <w:r>
        <w:fldChar w:fldCharType="begin"/>
      </w:r>
      <w:r>
        <w:instrText xml:space="preserve"> PAGEREF _Toc10020 \h </w:instrText>
      </w:r>
      <w:r>
        <w:fldChar w:fldCharType="separate"/>
      </w:r>
      <w:r>
        <w:t>6</w:t>
      </w:r>
      <w:r>
        <w:fldChar w:fldCharType="end"/>
      </w:r>
      <w:r>
        <w:fldChar w:fldCharType="end"/>
      </w:r>
    </w:p>
    <w:p>
      <w:pPr>
        <w:pStyle w:val="24"/>
        <w:tabs>
          <w:tab w:val="right" w:leader="dot" w:pos="9354"/>
          <w:tab w:val="clear" w:pos="9344"/>
        </w:tabs>
        <w:ind w:left="0"/>
      </w:pPr>
      <w:r>
        <w:fldChar w:fldCharType="begin"/>
      </w:r>
      <w:r>
        <w:instrText xml:space="preserve"> HYPERLINK \l "_Toc20099" </w:instrText>
      </w:r>
      <w:r>
        <w:fldChar w:fldCharType="separate"/>
      </w:r>
      <w:r>
        <w:rPr>
          <w:rFonts w:hint="eastAsia" w:ascii="黑体" w:hAnsi="Times New Roman" w:eastAsia="黑体"/>
          <w:kern w:val="0"/>
        </w:rPr>
        <w:t xml:space="preserve">8 </w:t>
      </w:r>
      <w:r>
        <w:rPr>
          <w:rFonts w:hint="eastAsia"/>
        </w:rPr>
        <w:t>现场评价</w:t>
      </w:r>
      <w:r>
        <w:tab/>
      </w:r>
      <w:r>
        <w:fldChar w:fldCharType="begin"/>
      </w:r>
      <w:r>
        <w:instrText xml:space="preserve"> PAGEREF _Toc20099 \h </w:instrText>
      </w:r>
      <w:r>
        <w:fldChar w:fldCharType="separate"/>
      </w:r>
      <w:r>
        <w:t>6</w:t>
      </w:r>
      <w:r>
        <w:fldChar w:fldCharType="end"/>
      </w:r>
      <w:r>
        <w:fldChar w:fldCharType="end"/>
      </w:r>
    </w:p>
    <w:p>
      <w:pPr>
        <w:pStyle w:val="19"/>
        <w:tabs>
          <w:tab w:val="right" w:leader="dot" w:pos="9354"/>
        </w:tabs>
      </w:pPr>
      <w:r>
        <w:fldChar w:fldCharType="begin"/>
      </w:r>
      <w:r>
        <w:instrText xml:space="preserve"> HYPERLINK \l _Toc19772 </w:instrText>
      </w:r>
      <w:r>
        <w:fldChar w:fldCharType="separate"/>
      </w:r>
      <w:r>
        <w:rPr>
          <w:rFonts w:ascii="Times New Roman" w:hAnsi="Times New Roman"/>
          <w:spacing w:val="105"/>
        </w:rPr>
        <w:t>参考文</w:t>
      </w:r>
      <w:r>
        <w:rPr>
          <w:rFonts w:ascii="Times New Roman" w:hAnsi="Times New Roman"/>
        </w:rPr>
        <w:t>献</w:t>
      </w:r>
      <w:r>
        <w:tab/>
      </w:r>
      <w:r>
        <w:rPr>
          <w:rFonts w:hint="eastAsia"/>
          <w:lang w:val="en-US" w:eastAsia="zh-CN"/>
        </w:rPr>
        <w:t>8</w:t>
      </w:r>
      <w:r>
        <w:fldChar w:fldCharType="end"/>
      </w:r>
    </w:p>
    <w:p>
      <w:pPr>
        <w:rPr>
          <w:rFonts w:hint="eastAsia"/>
        </w:rPr>
      </w:pPr>
    </w:p>
    <w:p>
      <w:pPr>
        <w:pStyle w:val="92"/>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after="468"/>
      </w:pPr>
      <w:bookmarkStart w:id="22" w:name="_Toc14700"/>
      <w:bookmarkStart w:id="23" w:name="BookMark2"/>
      <w:r>
        <w:rPr>
          <w:spacing w:val="320"/>
        </w:rPr>
        <w:t>前</w:t>
      </w:r>
      <w:r>
        <w:t>言</w:t>
      </w:r>
      <w:bookmarkEnd w:id="22"/>
    </w:p>
    <w:p>
      <w:pPr>
        <w:pStyle w:val="57"/>
        <w:ind w:firstLine="420"/>
        <w:rPr>
          <w:highlight w:val="none"/>
        </w:rPr>
      </w:pPr>
      <w:r>
        <w:rPr>
          <w:rFonts w:hint="eastAsia"/>
        </w:rPr>
        <w:t>本文件按照GB/T 1.1—</w:t>
      </w:r>
      <w:r>
        <w:rPr>
          <w:rFonts w:hint="eastAsia"/>
          <w:highlight w:val="none"/>
        </w:rPr>
        <w:t>2020《标准化工作导则  第1部分：标准化文件的结构和起草规则》的规定起草。</w:t>
      </w:r>
    </w:p>
    <w:p>
      <w:pPr>
        <w:pStyle w:val="57"/>
        <w:ind w:firstLine="420"/>
        <w:rPr>
          <w:rFonts w:ascii="Times New Roman"/>
        </w:rPr>
      </w:pPr>
      <w:r>
        <w:rPr>
          <w:rFonts w:ascii="Times New Roman"/>
        </w:rPr>
        <w:t>本</w:t>
      </w:r>
      <w:r>
        <w:rPr>
          <w:rFonts w:hint="eastAsia" w:ascii="Times New Roman"/>
        </w:rPr>
        <w:t>文件</w:t>
      </w:r>
      <w:r>
        <w:rPr>
          <w:rFonts w:ascii="Times New Roman"/>
        </w:rPr>
        <w:t>由</w:t>
      </w:r>
      <w:r>
        <w:rPr>
          <w:rFonts w:hint="eastAsia" w:ascii="Times New Roman"/>
        </w:rPr>
        <w:t>攀枝花市</w:t>
      </w:r>
      <w:r>
        <w:rPr>
          <w:rFonts w:ascii="Times New Roman"/>
        </w:rPr>
        <w:t>卫生健康委员会提出</w:t>
      </w:r>
      <w:r>
        <w:rPr>
          <w:rFonts w:hint="eastAsia" w:ascii="Times New Roman"/>
        </w:rPr>
        <w:t>并</w:t>
      </w:r>
      <w:r>
        <w:rPr>
          <w:rFonts w:ascii="Times New Roman"/>
        </w:rPr>
        <w:t>归口。</w:t>
      </w:r>
    </w:p>
    <w:p>
      <w:pPr>
        <w:pStyle w:val="57"/>
        <w:ind w:firstLine="420"/>
      </w:pPr>
      <w:r>
        <w:rPr>
          <w:rFonts w:ascii="Times New Roman"/>
        </w:rPr>
        <w:t>本</w:t>
      </w:r>
      <w:r>
        <w:rPr>
          <w:rFonts w:hint="eastAsia" w:ascii="Times New Roman"/>
        </w:rPr>
        <w:t>文件</w:t>
      </w:r>
      <w:r>
        <w:rPr>
          <w:rFonts w:ascii="Times New Roman"/>
        </w:rPr>
        <w:t>由</w:t>
      </w:r>
      <w:r>
        <w:rPr>
          <w:rFonts w:hint="eastAsia" w:ascii="Times New Roman"/>
        </w:rPr>
        <w:t>攀枝花市</w:t>
      </w:r>
      <w:r>
        <w:rPr>
          <w:rFonts w:ascii="Times New Roman"/>
        </w:rPr>
        <w:t>市场监督管理局批准。</w:t>
      </w:r>
    </w:p>
    <w:p>
      <w:pPr>
        <w:pStyle w:val="57"/>
        <w:ind w:firstLine="420"/>
        <w:rPr>
          <w:highlight w:val="none"/>
        </w:rPr>
      </w:pPr>
      <w:r>
        <w:rPr>
          <w:rFonts w:ascii="Times New Roman"/>
          <w:color w:val="000000"/>
        </w:rPr>
        <w:t>本</w:t>
      </w:r>
      <w:r>
        <w:rPr>
          <w:rFonts w:hint="eastAsia" w:ascii="Times New Roman"/>
          <w:color w:val="000000"/>
          <w:highlight w:val="none"/>
        </w:rPr>
        <w:t>文件</w:t>
      </w:r>
      <w:r>
        <w:rPr>
          <w:rFonts w:ascii="Times New Roman"/>
          <w:color w:val="000000"/>
          <w:highlight w:val="none"/>
        </w:rPr>
        <w:t>起草单位：</w:t>
      </w:r>
      <w:r>
        <w:rPr>
          <w:rFonts w:hint="eastAsia" w:ascii="Times New Roman"/>
          <w:color w:val="000000"/>
          <w:highlight w:val="none"/>
        </w:rPr>
        <w:t>攀枝花市</w:t>
      </w:r>
      <w:r>
        <w:rPr>
          <w:rFonts w:ascii="Times New Roman"/>
          <w:color w:val="000000"/>
          <w:highlight w:val="none"/>
        </w:rPr>
        <w:t>疾病预防控制中心、</w:t>
      </w:r>
      <w:r>
        <w:rPr>
          <w:rFonts w:hint="eastAsia" w:ascii="Times New Roman"/>
          <w:color w:val="000000"/>
          <w:highlight w:val="none"/>
        </w:rPr>
        <w:t>攀枝花市卫生健康委员会</w:t>
      </w:r>
      <w:r>
        <w:rPr>
          <w:rFonts w:ascii="Times New Roman"/>
          <w:color w:val="000000"/>
          <w:highlight w:val="none"/>
        </w:rPr>
        <w:t>、</w:t>
      </w:r>
      <w:r>
        <w:rPr>
          <w:rFonts w:hint="eastAsia" w:ascii="Times New Roman"/>
          <w:color w:val="000000"/>
          <w:highlight w:val="none"/>
        </w:rPr>
        <w:t>攀枝花市爱国卫生委员会办公室</w:t>
      </w:r>
      <w:r>
        <w:rPr>
          <w:rFonts w:ascii="Times New Roman"/>
          <w:color w:val="000000"/>
          <w:highlight w:val="none"/>
        </w:rPr>
        <w:t>、</w:t>
      </w:r>
      <w:r>
        <w:rPr>
          <w:rFonts w:hint="eastAsia" w:ascii="Times New Roman"/>
          <w:color w:val="000000"/>
          <w:highlight w:val="none"/>
        </w:rPr>
        <w:t>攀枝花市第四人民医院、攀枝花市市场监督管理局</w:t>
      </w:r>
      <w:r>
        <w:rPr>
          <w:rFonts w:ascii="Times New Roman"/>
          <w:color w:val="000000"/>
          <w:highlight w:val="none"/>
        </w:rPr>
        <w:t>。</w:t>
      </w:r>
    </w:p>
    <w:p>
      <w:pPr>
        <w:pStyle w:val="231"/>
        <w:autoSpaceDE/>
        <w:autoSpaceDN/>
        <w:rPr>
          <w:rFonts w:ascii="Times New Roman"/>
          <w:color w:val="000000"/>
        </w:rPr>
      </w:pPr>
      <w:r>
        <w:rPr>
          <w:rFonts w:ascii="Times New Roman"/>
          <w:color w:val="000000"/>
          <w:highlight w:val="none"/>
        </w:rPr>
        <w:t>本</w:t>
      </w:r>
      <w:r>
        <w:rPr>
          <w:rFonts w:hint="eastAsia" w:ascii="Times New Roman"/>
          <w:color w:val="000000"/>
          <w:highlight w:val="none"/>
        </w:rPr>
        <w:t>文件</w:t>
      </w:r>
      <w:r>
        <w:rPr>
          <w:rFonts w:ascii="Times New Roman"/>
          <w:color w:val="000000"/>
          <w:highlight w:val="none"/>
        </w:rPr>
        <w:t>主要起草人：</w:t>
      </w:r>
      <w:r>
        <w:rPr>
          <w:rFonts w:hint="eastAsia" w:ascii="Times New Roman"/>
          <w:color w:val="000000"/>
          <w:highlight w:val="none"/>
        </w:rPr>
        <w:t>黄进、郭元、李大权、陈祖华、杨承刚、刘寿宇、唐刚、李晓军</w:t>
      </w:r>
      <w:r>
        <w:rPr>
          <w:rFonts w:ascii="Times New Roman"/>
          <w:color w:val="000000"/>
          <w:highlight w:val="none"/>
        </w:rPr>
        <w:t>。</w:t>
      </w:r>
    </w:p>
    <w:p>
      <w:pPr>
        <w:pStyle w:val="57"/>
        <w:ind w:firstLine="420"/>
        <w:sectPr>
          <w:pgSz w:w="11906" w:h="16838"/>
          <w:pgMar w:top="2410"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FE2EAAD12F9343098BCCEECCC7717E02"/>
        </w:placeholder>
      </w:sdtPr>
      <w:sdtContent>
        <w:p>
          <w:pPr>
            <w:pStyle w:val="178"/>
            <w:spacing w:beforeLines="1" w:afterLines="220"/>
          </w:pPr>
          <w:bookmarkStart w:id="25" w:name="NEW_STAND_NAME"/>
          <w:r>
            <w:rPr>
              <w:rFonts w:hint="eastAsia"/>
            </w:rPr>
            <w:t>病媒生物密度控制要求 康养场所</w:t>
          </w:r>
        </w:p>
      </w:sdtContent>
    </w:sdt>
    <w:bookmarkEnd w:id="25"/>
    <w:p>
      <w:pPr>
        <w:pStyle w:val="105"/>
        <w:spacing w:before="312" w:after="312"/>
      </w:pPr>
      <w:bookmarkStart w:id="26" w:name="_Toc26986771"/>
      <w:bookmarkStart w:id="27" w:name="_Toc24884211"/>
      <w:bookmarkStart w:id="28" w:name="_Toc17233333"/>
      <w:bookmarkStart w:id="29" w:name="_Toc26986530"/>
      <w:bookmarkStart w:id="30" w:name="_Toc26718930"/>
      <w:bookmarkStart w:id="31" w:name="_Toc9693"/>
      <w:bookmarkStart w:id="32" w:name="_Toc24884218"/>
      <w:bookmarkStart w:id="33" w:name="_Toc17233325"/>
      <w:bookmarkStart w:id="34" w:name="_Toc26648465"/>
      <w:r>
        <w:rPr>
          <w:rFonts w:hint="eastAsia"/>
        </w:rPr>
        <w:t>范围</w:t>
      </w:r>
      <w:bookmarkEnd w:id="26"/>
      <w:bookmarkEnd w:id="27"/>
      <w:bookmarkEnd w:id="28"/>
      <w:bookmarkEnd w:id="29"/>
      <w:bookmarkEnd w:id="30"/>
      <w:bookmarkEnd w:id="31"/>
      <w:bookmarkEnd w:id="32"/>
      <w:bookmarkEnd w:id="33"/>
      <w:bookmarkEnd w:id="34"/>
    </w:p>
    <w:p>
      <w:pPr>
        <w:pStyle w:val="57"/>
        <w:ind w:firstLine="420"/>
        <w:rPr>
          <w:rFonts w:ascii="Times New Roman"/>
        </w:rPr>
      </w:pPr>
      <w:bookmarkStart w:id="35" w:name="_Toc17233334"/>
      <w:bookmarkStart w:id="36" w:name="_Toc24884212"/>
      <w:bookmarkStart w:id="37" w:name="_Toc24884219"/>
      <w:bookmarkStart w:id="38" w:name="_Toc17233326"/>
      <w:bookmarkStart w:id="39" w:name="_Toc26648466"/>
      <w:r>
        <w:rPr>
          <w:rFonts w:hint="eastAsia" w:ascii="Times New Roman"/>
        </w:rPr>
        <w:t>本文件规定了康养场所中病媒生物的</w:t>
      </w:r>
      <w:r>
        <w:rPr>
          <w:rFonts w:hint="eastAsia" w:ascii="Times New Roman"/>
          <w:lang w:val="en-US" w:eastAsia="zh-CN"/>
        </w:rPr>
        <w:t>防治原则、防制</w:t>
      </w:r>
      <w:r>
        <w:rPr>
          <w:rFonts w:hint="eastAsia" w:ascii="Times New Roman"/>
        </w:rPr>
        <w:t>对象、</w:t>
      </w:r>
      <w:r>
        <w:rPr>
          <w:rFonts w:hint="eastAsia" w:ascii="Times New Roman"/>
          <w:lang w:val="en-US" w:eastAsia="zh-CN"/>
        </w:rPr>
        <w:t>防制</w:t>
      </w:r>
      <w:r>
        <w:rPr>
          <w:rFonts w:hint="eastAsia" w:ascii="Times New Roman"/>
          <w:highlight w:val="none"/>
        </w:rPr>
        <w:t>措施</w:t>
      </w:r>
      <w:r>
        <w:rPr>
          <w:rFonts w:hint="eastAsia" w:ascii="Times New Roman"/>
          <w:lang w:eastAsia="zh-CN"/>
        </w:rPr>
        <w:t>、</w:t>
      </w:r>
      <w:r>
        <w:rPr>
          <w:rFonts w:hint="eastAsia" w:ascii="Times New Roman"/>
        </w:rPr>
        <w:t>控制指标</w:t>
      </w:r>
      <w:r>
        <w:rPr>
          <w:rFonts w:hint="eastAsia" w:ascii="Times New Roman"/>
          <w:lang w:val="en-US" w:eastAsia="zh-CN"/>
        </w:rPr>
        <w:t>和效果评价</w:t>
      </w:r>
      <w:r>
        <w:rPr>
          <w:rFonts w:hint="eastAsia" w:ascii="Times New Roman"/>
        </w:rPr>
        <w:t>。</w:t>
      </w:r>
    </w:p>
    <w:p>
      <w:pPr>
        <w:pStyle w:val="57"/>
        <w:ind w:firstLine="420"/>
        <w:rPr>
          <w:rFonts w:hint="eastAsia" w:ascii="Times New Roman"/>
        </w:rPr>
      </w:pPr>
      <w:r>
        <w:rPr>
          <w:rFonts w:hint="eastAsia" w:ascii="Times New Roman"/>
        </w:rPr>
        <w:t>本文件适用于康养场所的病媒生物</w:t>
      </w:r>
      <w:r>
        <w:rPr>
          <w:rFonts w:hint="eastAsia" w:ascii="Times New Roman"/>
          <w:lang w:val="en-US" w:eastAsia="zh-CN"/>
        </w:rPr>
        <w:t>密度控制及评价</w:t>
      </w:r>
      <w:r>
        <w:rPr>
          <w:rFonts w:hint="eastAsia" w:ascii="Times New Roman"/>
        </w:rPr>
        <w:t>。</w:t>
      </w:r>
    </w:p>
    <w:p>
      <w:pPr>
        <w:pStyle w:val="105"/>
        <w:adjustRightInd w:val="0"/>
        <w:snapToGrid w:val="0"/>
        <w:spacing w:before="312" w:after="312"/>
      </w:pPr>
      <w:bookmarkStart w:id="40" w:name="_Toc26986772"/>
      <w:bookmarkStart w:id="41" w:name="_Toc3323"/>
      <w:bookmarkStart w:id="42" w:name="_Toc26718931"/>
      <w:bookmarkStart w:id="43" w:name="_Toc269865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311E5704C57146488109566B965EA9A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pPr>
            <w:pStyle w:val="57"/>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autoSpaceDE/>
        <w:autoSpaceDN/>
        <w:ind w:firstLine="510" w:firstLineChars="243"/>
        <w:rPr>
          <w:rFonts w:ascii="Times New Roman"/>
        </w:rPr>
      </w:pPr>
      <w:r>
        <w:rPr>
          <w:rFonts w:hint="eastAsia"/>
        </w:rPr>
        <w:t>GB/T 27770 病媒生物密度控制水平 鼠类</w:t>
      </w:r>
    </w:p>
    <w:p>
      <w:pPr>
        <w:pStyle w:val="57"/>
        <w:autoSpaceDE/>
        <w:autoSpaceDN/>
        <w:ind w:firstLine="510" w:firstLineChars="243"/>
      </w:pPr>
      <w:r>
        <w:rPr>
          <w:rFonts w:hint="eastAsia"/>
        </w:rPr>
        <w:t>GB/T 27771 病媒生物密度控制水平 蚊虫</w:t>
      </w:r>
    </w:p>
    <w:p>
      <w:pPr>
        <w:pStyle w:val="57"/>
        <w:autoSpaceDE/>
        <w:autoSpaceDN/>
        <w:ind w:firstLine="510" w:firstLineChars="243"/>
        <w:rPr>
          <w:rFonts w:ascii="Times New Roman"/>
        </w:rPr>
      </w:pPr>
      <w:r>
        <w:rPr>
          <w:rFonts w:hint="eastAsia"/>
        </w:rPr>
        <w:t>GB/T 27772 病媒生物密度控制水平 蝇类</w:t>
      </w:r>
    </w:p>
    <w:p>
      <w:pPr>
        <w:pStyle w:val="57"/>
        <w:autoSpaceDE/>
        <w:autoSpaceDN/>
        <w:ind w:firstLine="510" w:firstLineChars="243"/>
        <w:rPr>
          <w:rFonts w:ascii="Times New Roman"/>
        </w:rPr>
      </w:pPr>
      <w:r>
        <w:rPr>
          <w:rFonts w:hint="eastAsia"/>
        </w:rPr>
        <w:t>GB/T 27773 病媒生物密度控制水平 蜚蠊</w:t>
      </w:r>
    </w:p>
    <w:p>
      <w:pPr>
        <w:pStyle w:val="57"/>
        <w:autoSpaceDE/>
        <w:autoSpaceDN/>
        <w:ind w:firstLine="510" w:firstLineChars="243"/>
        <w:rPr>
          <w:rFonts w:ascii="Times New Roman"/>
        </w:rPr>
      </w:pPr>
      <w:r>
        <w:rPr>
          <w:rFonts w:hint="eastAsia" w:ascii="Times New Roman"/>
          <w:szCs w:val="21"/>
        </w:rPr>
        <w:t>GB/T 23795 病媒生物监测方法  蜚蠊</w:t>
      </w:r>
    </w:p>
    <w:p>
      <w:pPr>
        <w:pStyle w:val="57"/>
        <w:autoSpaceDE/>
        <w:autoSpaceDN/>
        <w:ind w:firstLine="510" w:firstLineChars="243"/>
        <w:rPr>
          <w:rFonts w:ascii="Times New Roman"/>
        </w:rPr>
      </w:pPr>
      <w:r>
        <w:rPr>
          <w:rFonts w:hint="eastAsia" w:ascii="Times New Roman"/>
          <w:szCs w:val="21"/>
        </w:rPr>
        <w:t>GB/T 23796 病媒生物监测方法  蝇类</w:t>
      </w:r>
    </w:p>
    <w:p>
      <w:pPr>
        <w:pStyle w:val="57"/>
        <w:autoSpaceDE/>
        <w:autoSpaceDN/>
        <w:ind w:firstLine="510" w:firstLineChars="243"/>
        <w:rPr>
          <w:rFonts w:ascii="Times New Roman"/>
        </w:rPr>
      </w:pPr>
      <w:r>
        <w:rPr>
          <w:rFonts w:hint="eastAsia" w:ascii="Times New Roman"/>
          <w:szCs w:val="21"/>
        </w:rPr>
        <w:t>GB/T 23797 病媒生物监测方法  蚊虫</w:t>
      </w:r>
    </w:p>
    <w:p>
      <w:pPr>
        <w:pStyle w:val="57"/>
        <w:autoSpaceDE/>
        <w:autoSpaceDN/>
        <w:ind w:firstLine="510" w:firstLineChars="243"/>
        <w:rPr>
          <w:rFonts w:hint="eastAsia" w:ascii="Times New Roman"/>
          <w:szCs w:val="21"/>
        </w:rPr>
      </w:pPr>
      <w:r>
        <w:rPr>
          <w:rFonts w:hint="eastAsia" w:ascii="Times New Roman"/>
          <w:szCs w:val="21"/>
        </w:rPr>
        <w:t>GB/T 23798 病媒生物监测方法  鼠类</w:t>
      </w:r>
    </w:p>
    <w:p>
      <w:pPr>
        <w:pStyle w:val="57"/>
        <w:autoSpaceDE/>
        <w:autoSpaceDN/>
        <w:ind w:firstLine="510" w:firstLineChars="243"/>
        <w:rPr>
          <w:rFonts w:ascii="Times New Roman"/>
        </w:rPr>
      </w:pPr>
      <w:r>
        <w:rPr>
          <w:rFonts w:hint="eastAsia" w:ascii="Times New Roman"/>
        </w:rPr>
        <w:t>WS/T 692 病媒生物密度监测方法 臭虫</w:t>
      </w:r>
    </w:p>
    <w:p>
      <w:pPr>
        <w:pStyle w:val="57"/>
        <w:autoSpaceDE/>
        <w:autoSpaceDN/>
        <w:ind w:firstLine="510" w:firstLineChars="243"/>
        <w:rPr>
          <w:rFonts w:ascii="Times New Roman"/>
        </w:rPr>
      </w:pPr>
      <w:r>
        <w:rPr>
          <w:rFonts w:hint="eastAsia" w:ascii="Times New Roman"/>
        </w:rPr>
        <w:t>GB/T 36788 病媒生物密度监测方法 蜱类</w:t>
      </w:r>
    </w:p>
    <w:p>
      <w:pPr>
        <w:pStyle w:val="57"/>
        <w:autoSpaceDE/>
        <w:autoSpaceDN/>
        <w:ind w:firstLine="510" w:firstLineChars="243"/>
        <w:rPr>
          <w:rFonts w:hint="eastAsia" w:ascii="Times New Roman"/>
        </w:rPr>
      </w:pPr>
      <w:r>
        <w:rPr>
          <w:rFonts w:hint="eastAsia" w:ascii="Times New Roman"/>
        </w:rPr>
        <w:t>WS/T 822 蚤类密度监测方法标准</w:t>
      </w:r>
    </w:p>
    <w:p>
      <w:pPr>
        <w:pStyle w:val="105"/>
        <w:adjustRightInd w:val="0"/>
        <w:snapToGrid w:val="0"/>
        <w:spacing w:before="312" w:after="312"/>
      </w:pPr>
      <w:bookmarkStart w:id="44" w:name="_Toc9404"/>
      <w:r>
        <w:rPr>
          <w:rFonts w:hint="eastAsia"/>
        </w:rPr>
        <w:t>术语和定义</w:t>
      </w:r>
      <w:bookmarkEnd w:id="44"/>
    </w:p>
    <w:p>
      <w:pPr>
        <w:pStyle w:val="57"/>
        <w:ind w:firstLine="420"/>
      </w:pPr>
      <w:bookmarkStart w:id="45" w:name="_Toc26986532"/>
      <w:bookmarkEnd w:id="45"/>
      <w:sdt>
        <w:sdtPr>
          <w:id w:val="-1"/>
          <w:placeholder>
            <w:docPart w:val="CD21D23A7AEB46998B5F9BD05EB393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p>
    <w:p>
      <w:pPr>
        <w:pStyle w:val="106"/>
        <w:spacing w:before="156" w:after="156"/>
      </w:pPr>
      <w:bookmarkStart w:id="46" w:name="_Toc16090"/>
      <w:bookmarkEnd w:id="46"/>
    </w:p>
    <w:p>
      <w:pPr>
        <w:pStyle w:val="25"/>
        <w:widowControl/>
        <w:kinsoku w:val="0"/>
        <w:autoSpaceDE w:val="0"/>
        <w:autoSpaceDN w:val="0"/>
        <w:snapToGrid w:val="0"/>
        <w:spacing w:before="253" w:beforeAutospacing="0" w:afterAutospacing="0"/>
        <w:ind w:left="1" w:firstLine="408" w:firstLineChars="200"/>
        <w:textAlignment w:val="baseline"/>
        <w:outlineLvl w:val="1"/>
        <w:rPr>
          <w:rFonts w:ascii="Times New Roman" w:hAnsi="Times New Roman"/>
          <w:b/>
          <w:bCs/>
          <w:color w:val="000000"/>
          <w:sz w:val="20"/>
          <w:szCs w:val="20"/>
        </w:rPr>
      </w:pPr>
      <w:r>
        <w:rPr>
          <w:rFonts w:hint="eastAsia" w:ascii="黑体" w:hAnsi="宋体" w:eastAsia="黑体" w:cs="黑体"/>
          <w:color w:val="000000"/>
          <w:spacing w:val="2"/>
          <w:sz w:val="20"/>
          <w:szCs w:val="20"/>
        </w:rPr>
        <w:t xml:space="preserve">病媒生物  </w:t>
      </w:r>
      <w:r>
        <w:rPr>
          <w:rFonts w:ascii="Times New Roman" w:hAnsi="Times New Roman" w:eastAsia="黑体"/>
          <w:b/>
          <w:bCs/>
          <w:color w:val="000000"/>
          <w:sz w:val="21"/>
        </w:rPr>
        <w:t>Vector</w:t>
      </w:r>
    </w:p>
    <w:p>
      <w:pPr>
        <w:widowControl/>
        <w:kinsoku w:val="0"/>
        <w:autoSpaceDE w:val="0"/>
        <w:autoSpaceDN w:val="0"/>
        <w:snapToGrid w:val="0"/>
        <w:spacing w:before="64" w:line="264" w:lineRule="auto"/>
        <w:ind w:left="2" w:right="56" w:firstLine="42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能够将病原体从人或者其他动物传播给人的生物，如鼠、蚊、蝇、蜚蠊等。</w:t>
      </w:r>
    </w:p>
    <w:p>
      <w:pPr>
        <w:widowControl/>
        <w:kinsoku w:val="0"/>
        <w:autoSpaceDE w:val="0"/>
        <w:autoSpaceDN w:val="0"/>
        <w:snapToGrid w:val="0"/>
        <w:spacing w:before="65" w:line="276" w:lineRule="auto"/>
        <w:ind w:firstLine="428"/>
        <w:textAlignment w:val="baseline"/>
        <w:rPr>
          <w:rFonts w:ascii="宋体" w:hAnsi="宋体" w:cs="宋体"/>
          <w:color w:val="0000FF"/>
          <w:kern w:val="0"/>
          <w:sz w:val="20"/>
          <w:szCs w:val="20"/>
        </w:rPr>
      </w:pPr>
      <w:r>
        <w:rPr>
          <w:rFonts w:hint="eastAsia" w:ascii="宋体" w:hAnsi="宋体" w:cs="宋体"/>
          <w:color w:val="0000FF"/>
          <w:kern w:val="0"/>
          <w:sz w:val="20"/>
          <w:szCs w:val="20"/>
        </w:rPr>
        <w:t>[</w:t>
      </w:r>
      <w:r>
        <w:rPr>
          <w:rFonts w:hint="eastAsia" w:ascii="宋体" w:hAnsi="宋体" w:cs="宋体"/>
          <w:color w:val="000000"/>
          <w:kern w:val="0"/>
          <w:sz w:val="20"/>
          <w:szCs w:val="20"/>
        </w:rPr>
        <w:t>GB/T 31721—2015，定义</w:t>
      </w:r>
      <w:r>
        <w:rPr>
          <w:rFonts w:hint="eastAsia" w:ascii="宋体" w:hAnsi="宋体" w:cs="宋体"/>
          <w:color w:val="000000"/>
          <w:kern w:val="0"/>
          <w:sz w:val="20"/>
          <w:szCs w:val="20"/>
          <w:lang w:val="en-US" w:eastAsia="zh-CN"/>
        </w:rPr>
        <w:t>2.1.1</w:t>
      </w:r>
      <w:r>
        <w:rPr>
          <w:rFonts w:hint="eastAsia" w:ascii="宋体" w:hAnsi="宋体" w:cs="宋体"/>
          <w:color w:val="0000FF"/>
          <w:kern w:val="0"/>
          <w:sz w:val="20"/>
          <w:szCs w:val="20"/>
        </w:rPr>
        <w:t>]</w:t>
      </w:r>
    </w:p>
    <w:p>
      <w:pPr>
        <w:pStyle w:val="106"/>
        <w:spacing w:before="156" w:after="156"/>
      </w:pPr>
    </w:p>
    <w:p>
      <w:pPr>
        <w:pStyle w:val="57"/>
        <w:ind w:firstLine="408"/>
      </w:pPr>
      <w:bookmarkStart w:id="47" w:name="_Toc12879"/>
      <w:bookmarkEnd w:id="47"/>
      <w:r>
        <w:rPr>
          <w:rFonts w:hint="eastAsia" w:ascii="黑体" w:hAnsi="宋体" w:eastAsia="黑体" w:cs="黑体"/>
          <w:color w:val="000000"/>
          <w:spacing w:val="2"/>
          <w:sz w:val="20"/>
        </w:rPr>
        <w:t xml:space="preserve">孳生地  </w:t>
      </w:r>
      <w:r>
        <w:rPr>
          <w:rFonts w:hint="eastAsia" w:ascii="Times New Roman" w:eastAsia="黑体"/>
          <w:b/>
          <w:bCs/>
          <w:color w:val="000000"/>
          <w:szCs w:val="21"/>
        </w:rPr>
        <w:t>Breeding ground</w:t>
      </w:r>
    </w:p>
    <w:p>
      <w:pPr>
        <w:widowControl/>
        <w:kinsoku w:val="0"/>
        <w:autoSpaceDE w:val="0"/>
        <w:autoSpaceDN w:val="0"/>
        <w:snapToGrid w:val="0"/>
        <w:spacing w:before="64" w:line="264" w:lineRule="auto"/>
        <w:ind w:left="2" w:right="56" w:firstLine="42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适宜于病媒生物世代繁衍生活的物质或场所。</w:t>
      </w:r>
    </w:p>
    <w:p>
      <w:pPr>
        <w:widowControl/>
        <w:kinsoku w:val="0"/>
        <w:autoSpaceDE w:val="0"/>
        <w:autoSpaceDN w:val="0"/>
        <w:snapToGrid w:val="0"/>
        <w:spacing w:before="65" w:line="276" w:lineRule="auto"/>
        <w:ind w:firstLine="428"/>
        <w:textAlignment w:val="baseline"/>
        <w:rPr>
          <w:rFonts w:ascii="宋体" w:hAnsi="宋体" w:cs="宋体"/>
          <w:color w:val="0000FF"/>
          <w:kern w:val="0"/>
          <w:sz w:val="20"/>
          <w:szCs w:val="20"/>
        </w:rPr>
      </w:pPr>
      <w:r>
        <w:rPr>
          <w:rFonts w:hint="eastAsia" w:ascii="宋体" w:hAnsi="宋体" w:cs="宋体"/>
          <w:color w:val="0000FF"/>
          <w:kern w:val="0"/>
          <w:sz w:val="20"/>
          <w:szCs w:val="20"/>
        </w:rPr>
        <w:t>[</w:t>
      </w:r>
      <w:r>
        <w:rPr>
          <w:rFonts w:hint="eastAsia" w:ascii="宋体" w:hAnsi="宋体" w:cs="宋体"/>
          <w:color w:val="000000"/>
          <w:kern w:val="0"/>
          <w:sz w:val="20"/>
          <w:szCs w:val="20"/>
        </w:rPr>
        <w:t>GB/T 31721—2015，定义</w:t>
      </w:r>
      <w:r>
        <w:rPr>
          <w:rFonts w:hint="eastAsia" w:ascii="宋体" w:hAnsi="宋体" w:cs="宋体"/>
          <w:color w:val="000000"/>
          <w:kern w:val="0"/>
          <w:sz w:val="20"/>
          <w:szCs w:val="20"/>
          <w:lang w:val="en-US" w:eastAsia="zh-CN"/>
        </w:rPr>
        <w:t>2.2.1.49</w:t>
      </w:r>
      <w:r>
        <w:rPr>
          <w:rFonts w:hint="eastAsia" w:ascii="宋体" w:hAnsi="宋体" w:cs="宋体"/>
          <w:color w:val="0000FF"/>
          <w:kern w:val="0"/>
          <w:sz w:val="20"/>
          <w:szCs w:val="20"/>
        </w:rPr>
        <w:t>]</w:t>
      </w:r>
    </w:p>
    <w:p>
      <w:pPr>
        <w:pStyle w:val="106"/>
        <w:spacing w:before="156" w:after="156"/>
      </w:pPr>
    </w:p>
    <w:p>
      <w:pPr>
        <w:pStyle w:val="57"/>
        <w:ind w:firstLine="408"/>
        <w:rPr>
          <w:color w:val="auto"/>
        </w:rPr>
      </w:pPr>
      <w:r>
        <w:rPr>
          <w:rFonts w:hint="eastAsia" w:ascii="黑体" w:hAnsi="宋体" w:eastAsia="黑体" w:cs="黑体"/>
          <w:color w:val="auto"/>
          <w:spacing w:val="2"/>
          <w:sz w:val="20"/>
        </w:rPr>
        <w:t xml:space="preserve">康养场所   </w:t>
      </w:r>
      <w:r>
        <w:rPr>
          <w:rFonts w:ascii="Times New Roman" w:eastAsia="黑体"/>
          <w:b/>
          <w:bCs/>
          <w:color w:val="auto"/>
          <w:szCs w:val="21"/>
        </w:rPr>
        <w:t>Place for health-preservation and rehabilitation</w:t>
      </w:r>
    </w:p>
    <w:p>
      <w:pPr>
        <w:pStyle w:val="57"/>
        <w:ind w:firstLine="420"/>
        <w:rPr>
          <w:color w:val="auto"/>
        </w:rPr>
      </w:pPr>
    </w:p>
    <w:p>
      <w:pPr>
        <w:widowControl/>
        <w:kinsoku w:val="0"/>
        <w:autoSpaceDE w:val="0"/>
        <w:autoSpaceDN w:val="0"/>
        <w:snapToGrid w:val="0"/>
        <w:spacing w:before="64" w:line="264" w:lineRule="auto"/>
        <w:ind w:left="2" w:right="56" w:firstLine="420"/>
        <w:jc w:val="left"/>
        <w:textAlignment w:val="baseline"/>
        <w:rPr>
          <w:rFonts w:ascii="宋体" w:hAnsi="宋体" w:cs="宋体"/>
          <w:color w:val="auto"/>
          <w:kern w:val="0"/>
          <w:sz w:val="20"/>
          <w:szCs w:val="20"/>
        </w:rPr>
      </w:pPr>
      <w:r>
        <w:rPr>
          <w:rFonts w:hint="eastAsia" w:ascii="宋体" w:hAnsi="宋体" w:cs="宋体"/>
          <w:color w:val="auto"/>
          <w:kern w:val="0"/>
          <w:sz w:val="20"/>
          <w:szCs w:val="20"/>
          <w:lang w:val="en-US" w:eastAsia="zh-CN"/>
        </w:rPr>
        <w:t>为人群</w:t>
      </w:r>
      <w:r>
        <w:rPr>
          <w:rFonts w:hint="eastAsia" w:ascii="宋体" w:hAnsi="宋体" w:cs="宋体"/>
          <w:color w:val="auto"/>
          <w:kern w:val="0"/>
          <w:sz w:val="20"/>
          <w:szCs w:val="20"/>
        </w:rPr>
        <w:t>提供餐饮、运动、住宿、</w:t>
      </w:r>
      <w:r>
        <w:rPr>
          <w:rFonts w:hint="eastAsia" w:ascii="宋体" w:hAnsi="宋体" w:cs="宋体"/>
          <w:color w:val="auto"/>
          <w:kern w:val="0"/>
          <w:sz w:val="20"/>
          <w:szCs w:val="20"/>
          <w:lang w:val="en-US" w:eastAsia="zh-CN"/>
        </w:rPr>
        <w:t>医养</w:t>
      </w:r>
      <w:r>
        <w:rPr>
          <w:rFonts w:hint="eastAsia" w:ascii="宋体" w:hAnsi="宋体" w:cs="宋体"/>
          <w:color w:val="auto"/>
          <w:kern w:val="0"/>
          <w:sz w:val="20"/>
          <w:szCs w:val="20"/>
        </w:rPr>
        <w:t>、旅游等康养服务所涉及的</w:t>
      </w:r>
      <w:r>
        <w:rPr>
          <w:rFonts w:hint="eastAsia" w:ascii="宋体" w:hAnsi="宋体" w:cs="宋体"/>
          <w:color w:val="auto"/>
          <w:kern w:val="0"/>
          <w:sz w:val="20"/>
          <w:szCs w:val="20"/>
          <w:lang w:val="en-US" w:eastAsia="zh-CN"/>
        </w:rPr>
        <w:t>公共</w:t>
      </w:r>
      <w:r>
        <w:rPr>
          <w:rFonts w:hint="eastAsia" w:ascii="宋体" w:hAnsi="宋体" w:cs="宋体"/>
          <w:color w:val="auto"/>
          <w:kern w:val="0"/>
          <w:sz w:val="20"/>
          <w:szCs w:val="20"/>
        </w:rPr>
        <w:t>场所，包括但不限于食品生产加工场所、餐厅食堂、市场超市、农场绿地、景区步道、</w:t>
      </w:r>
      <w:r>
        <w:rPr>
          <w:rFonts w:hint="eastAsia" w:ascii="宋体" w:hAnsi="宋体" w:cs="宋体"/>
          <w:color w:val="auto"/>
          <w:kern w:val="0"/>
          <w:sz w:val="20"/>
          <w:szCs w:val="20"/>
          <w:lang w:val="en-US" w:eastAsia="zh-CN"/>
        </w:rPr>
        <w:t>医养中心、</w:t>
      </w:r>
      <w:r>
        <w:rPr>
          <w:rFonts w:hint="eastAsia" w:ascii="宋体" w:hAnsi="宋体" w:cs="宋体"/>
          <w:color w:val="auto"/>
          <w:kern w:val="0"/>
          <w:sz w:val="20"/>
          <w:szCs w:val="20"/>
        </w:rPr>
        <w:t>运动场馆、宾馆民宿、露营地等。</w:t>
      </w:r>
    </w:p>
    <w:p>
      <w:pPr>
        <w:pStyle w:val="106"/>
        <w:spacing w:before="156" w:after="156"/>
      </w:pPr>
      <w:bookmarkStart w:id="48" w:name="_Toc8375"/>
      <w:bookmarkEnd w:id="48"/>
    </w:p>
    <w:p>
      <w:pPr>
        <w:pStyle w:val="57"/>
        <w:ind w:firstLine="422"/>
        <w:rPr>
          <w:rFonts w:ascii="Times New Roman"/>
          <w:b/>
          <w:kern w:val="2"/>
          <w:szCs w:val="21"/>
        </w:rPr>
      </w:pPr>
      <w:bookmarkStart w:id="49" w:name="_Toc4251"/>
      <w:r>
        <w:rPr>
          <w:rFonts w:hint="eastAsia" w:ascii="黑体" w:hAnsi="黑体" w:eastAsia="黑体" w:cs="黑体"/>
          <w:b/>
          <w:kern w:val="2"/>
          <w:szCs w:val="21"/>
        </w:rPr>
        <w:t xml:space="preserve">标准间  </w:t>
      </w:r>
      <w:r>
        <w:rPr>
          <w:rFonts w:ascii="Times New Roman"/>
          <w:b/>
          <w:kern w:val="2"/>
          <w:szCs w:val="21"/>
        </w:rPr>
        <w:t>standard room</w:t>
      </w:r>
    </w:p>
    <w:p>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以15㎡为一个标准间，其中，小于15㎡的独立房间视为一个标准间，大于15㎡的房间或空间按15㎡每间折算标准间数（以下统称为间）。</w:t>
      </w:r>
    </w:p>
    <w:p>
      <w:pPr>
        <w:widowControl/>
        <w:kinsoku w:val="0"/>
        <w:autoSpaceDE w:val="0"/>
        <w:autoSpaceDN w:val="0"/>
        <w:snapToGrid w:val="0"/>
        <w:spacing w:before="65" w:line="276" w:lineRule="auto"/>
        <w:ind w:firstLine="428"/>
        <w:textAlignment w:val="baseline"/>
        <w:rPr>
          <w:rFonts w:hint="eastAsia" w:ascii="宋体" w:hAnsi="宋体" w:cs="宋体"/>
          <w:color w:val="0000FF"/>
          <w:kern w:val="0"/>
          <w:sz w:val="20"/>
          <w:szCs w:val="20"/>
        </w:rPr>
      </w:pPr>
      <w:r>
        <w:rPr>
          <w:rFonts w:hint="eastAsia" w:ascii="宋体" w:hAnsi="宋体" w:cs="宋体"/>
          <w:color w:val="0000FF"/>
          <w:kern w:val="0"/>
          <w:sz w:val="20"/>
          <w:szCs w:val="20"/>
        </w:rPr>
        <w:t>[</w:t>
      </w:r>
      <w:r>
        <w:rPr>
          <w:rFonts w:hint="eastAsia" w:ascii="宋体" w:hAnsi="宋体" w:cs="宋体"/>
          <w:color w:val="000000"/>
          <w:kern w:val="0"/>
          <w:sz w:val="20"/>
          <w:szCs w:val="20"/>
        </w:rPr>
        <w:t>GB/T 31721—2015，定义</w:t>
      </w:r>
      <w:r>
        <w:rPr>
          <w:rFonts w:hint="eastAsia" w:ascii="宋体" w:hAnsi="宋体" w:cs="宋体"/>
          <w:color w:val="000000"/>
          <w:kern w:val="0"/>
          <w:sz w:val="20"/>
          <w:szCs w:val="20"/>
          <w:lang w:val="en-US" w:eastAsia="zh-CN"/>
        </w:rPr>
        <w:t>3.1.10</w:t>
      </w:r>
      <w:r>
        <w:rPr>
          <w:rFonts w:hint="eastAsia" w:ascii="宋体" w:hAnsi="宋体" w:cs="宋体"/>
          <w:color w:val="0000FF"/>
          <w:kern w:val="0"/>
          <w:sz w:val="20"/>
          <w:szCs w:val="20"/>
        </w:rPr>
        <w:t>]</w:t>
      </w:r>
    </w:p>
    <w:p>
      <w:pPr>
        <w:pStyle w:val="57"/>
        <w:ind w:left="0" w:leftChars="0" w:firstLine="0" w:firstLineChars="0"/>
        <w:rPr>
          <w:rFonts w:hint="default" w:ascii="黑体" w:hAnsi="黑体" w:eastAsia="黑体" w:cs="黑体"/>
          <w:b/>
          <w:kern w:val="2"/>
          <w:szCs w:val="21"/>
          <w:lang w:val="en-US" w:eastAsia="zh-CN"/>
        </w:rPr>
      </w:pPr>
      <w:r>
        <w:rPr>
          <w:rFonts w:hint="eastAsia" w:ascii="黑体" w:hAnsi="黑体" w:eastAsia="黑体" w:cs="黑体"/>
          <w:b/>
          <w:kern w:val="2"/>
          <w:szCs w:val="21"/>
          <w:lang w:val="en-US" w:eastAsia="zh-CN"/>
        </w:rPr>
        <w:t>3.5</w:t>
      </w:r>
    </w:p>
    <w:p>
      <w:pPr>
        <w:pStyle w:val="57"/>
        <w:ind w:firstLine="422"/>
        <w:rPr>
          <w:rFonts w:ascii="黑体" w:hAnsi="黑体" w:eastAsia="黑体" w:cs="黑体"/>
          <w:b/>
          <w:kern w:val="2"/>
          <w:szCs w:val="21"/>
        </w:rPr>
      </w:pPr>
      <w:r>
        <w:rPr>
          <w:rFonts w:hint="eastAsia" w:ascii="黑体" w:hAnsi="黑体" w:eastAsia="黑体" w:cs="黑体"/>
          <w:b/>
          <w:kern w:val="2"/>
          <w:szCs w:val="21"/>
        </w:rPr>
        <w:t xml:space="preserve">防鼠设施   </w:t>
      </w:r>
      <w:r>
        <w:rPr>
          <w:rFonts w:hint="eastAsia" w:ascii="Times New Roman"/>
          <w:b/>
          <w:kern w:val="2"/>
          <w:szCs w:val="21"/>
        </w:rPr>
        <w:t xml:space="preserve">rodent-proof structure or facilities </w:t>
      </w:r>
    </w:p>
    <w:p>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 xml:space="preserve">能够阻挡鼠类进入室内或相关场所的装置。 </w:t>
      </w:r>
    </w:p>
    <w:p>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 xml:space="preserve">[GB/T 31721—2015，定义4.4.3] </w:t>
      </w:r>
    </w:p>
    <w:p>
      <w:pPr>
        <w:widowControl/>
        <w:kinsoku w:val="0"/>
        <w:autoSpaceDE w:val="0"/>
        <w:autoSpaceDN w:val="0"/>
        <w:snapToGrid w:val="0"/>
        <w:spacing w:before="64" w:line="264" w:lineRule="auto"/>
        <w:ind w:right="56"/>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3.6</w:t>
      </w:r>
    </w:p>
    <w:p>
      <w:pPr>
        <w:widowControl/>
        <w:kinsoku w:val="0"/>
        <w:autoSpaceDE w:val="0"/>
        <w:autoSpaceDN w:val="0"/>
        <w:snapToGrid w:val="0"/>
        <w:spacing w:before="64" w:line="264" w:lineRule="auto"/>
        <w:ind w:right="56" w:firstLine="421" w:firstLineChars="200"/>
        <w:jc w:val="left"/>
        <w:textAlignment w:val="baseline"/>
        <w:rPr>
          <w:rFonts w:ascii="宋体" w:hAnsi="宋体" w:cs="宋体"/>
          <w:color w:val="000000"/>
          <w:kern w:val="0"/>
          <w:sz w:val="20"/>
          <w:szCs w:val="20"/>
        </w:rPr>
      </w:pPr>
      <w:r>
        <w:rPr>
          <w:rFonts w:hint="eastAsia" w:ascii="黑体" w:hAnsi="黑体" w:eastAsia="黑体" w:cs="黑体"/>
          <w:b/>
        </w:rPr>
        <w:t xml:space="preserve">防蝇设施   </w:t>
      </w:r>
      <w:r>
        <w:rPr>
          <w:rFonts w:hint="eastAsia" w:ascii="Times New Roman" w:hAnsi="Times New Roman"/>
          <w:b/>
        </w:rPr>
        <w:t>housefly-proof facilities</w:t>
      </w:r>
    </w:p>
    <w:p>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 xml:space="preserve">能够阻挡蝇进入室内或接触食物的装置。如纱门、纱窗、风幕机、门帘、纱罩等。 </w:t>
      </w:r>
    </w:p>
    <w:p>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[GB/T 31721—2015，定义4.4.2]</w:t>
      </w:r>
    </w:p>
    <w:p>
      <w:pPr>
        <w:widowControl/>
        <w:kinsoku w:val="0"/>
        <w:autoSpaceDE w:val="0"/>
        <w:autoSpaceDN w:val="0"/>
        <w:snapToGrid w:val="0"/>
        <w:spacing w:before="64" w:line="264" w:lineRule="auto"/>
        <w:ind w:right="56"/>
        <w:jc w:val="left"/>
        <w:textAlignment w:val="baseline"/>
        <w:rPr>
          <w:rFonts w:ascii="黑体" w:hAnsi="黑体" w:eastAsia="黑体" w:cs="黑体"/>
          <w:b/>
        </w:rPr>
      </w:pPr>
      <w:r>
        <w:rPr>
          <w:rFonts w:hint="eastAsia" w:ascii="黑体" w:hAnsi="黑体" w:eastAsia="黑体" w:cs="黑体"/>
          <w:b/>
        </w:rPr>
        <w:t xml:space="preserve">3.7 </w:t>
      </w:r>
    </w:p>
    <w:p>
      <w:pPr>
        <w:widowControl/>
        <w:kinsoku w:val="0"/>
        <w:autoSpaceDE w:val="0"/>
        <w:autoSpaceDN w:val="0"/>
        <w:snapToGrid w:val="0"/>
        <w:spacing w:before="64" w:line="264" w:lineRule="auto"/>
        <w:ind w:right="56" w:firstLine="421" w:firstLineChars="200"/>
        <w:jc w:val="left"/>
        <w:textAlignment w:val="baseline"/>
        <w:rPr>
          <w:rFonts w:ascii="黑体" w:hAnsi="黑体" w:eastAsia="黑体" w:cs="黑体"/>
          <w:b/>
        </w:rPr>
      </w:pPr>
      <w:r>
        <w:rPr>
          <w:rFonts w:hint="eastAsia" w:ascii="黑体" w:hAnsi="黑体" w:eastAsia="黑体" w:cs="黑体"/>
          <w:b/>
        </w:rPr>
        <w:t xml:space="preserve">防蚊设施  </w:t>
      </w:r>
      <w:r>
        <w:rPr>
          <w:rFonts w:hint="eastAsia" w:ascii="Times New Roman" w:hAnsi="Times New Roman"/>
          <w:b/>
        </w:rPr>
        <w:t xml:space="preserve"> mosquito-proof facilities </w:t>
      </w:r>
    </w:p>
    <w:p>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 xml:space="preserve">预防蚊虫进入人群居住或活动的环境，以及防止蚊虫孳生繁殖和人被叮咬或骚扰的装置。 </w:t>
      </w:r>
    </w:p>
    <w:p>
      <w:pPr>
        <w:widowControl/>
        <w:kinsoku w:val="0"/>
        <w:autoSpaceDE w:val="0"/>
        <w:autoSpaceDN w:val="0"/>
        <w:snapToGrid w:val="0"/>
        <w:spacing w:before="64" w:line="264" w:lineRule="auto"/>
        <w:ind w:right="56" w:firstLine="400" w:firstLineChars="200"/>
        <w:jc w:val="left"/>
        <w:textAlignment w:val="baseline"/>
        <w:rPr>
          <w:rFonts w:ascii="宋体" w:hAnsi="宋体" w:cs="宋体"/>
          <w:color w:val="000000"/>
          <w:kern w:val="0"/>
          <w:sz w:val="20"/>
          <w:szCs w:val="20"/>
        </w:rPr>
      </w:pPr>
      <w:r>
        <w:rPr>
          <w:rFonts w:hint="eastAsia" w:ascii="宋体" w:hAnsi="宋体" w:cs="宋体"/>
          <w:color w:val="000000"/>
          <w:kern w:val="0"/>
          <w:sz w:val="20"/>
          <w:szCs w:val="20"/>
        </w:rPr>
        <w:t>[GB/T 31721—2015，定义4.4.1]</w:t>
      </w:r>
    </w:p>
    <w:p>
      <w:pPr>
        <w:widowControl/>
        <w:kinsoku w:val="0"/>
        <w:autoSpaceDE w:val="0"/>
        <w:autoSpaceDN w:val="0"/>
        <w:snapToGrid w:val="0"/>
        <w:spacing w:before="65" w:line="276" w:lineRule="auto"/>
        <w:ind w:firstLine="428"/>
        <w:textAlignment w:val="baseline"/>
        <w:rPr>
          <w:rFonts w:hint="eastAsia" w:ascii="宋体" w:hAnsi="宋体" w:cs="宋体"/>
          <w:color w:val="0000FF"/>
          <w:kern w:val="0"/>
          <w:sz w:val="20"/>
          <w:szCs w:val="20"/>
        </w:rPr>
      </w:pPr>
    </w:p>
    <w:p>
      <w:pPr>
        <w:pStyle w:val="105"/>
        <w:spacing w:before="312" w:after="312"/>
      </w:pPr>
      <w:r>
        <w:rPr>
          <w:rFonts w:hint="eastAsia"/>
          <w:lang w:val="en-US" w:eastAsia="zh-CN"/>
        </w:rPr>
        <w:t>防制</w:t>
      </w:r>
      <w:r>
        <w:rPr>
          <w:rFonts w:hint="eastAsia"/>
        </w:rPr>
        <w:t>对象</w:t>
      </w:r>
      <w:bookmarkEnd w:id="49"/>
    </w:p>
    <w:p>
      <w:pPr>
        <w:pStyle w:val="57"/>
        <w:autoSpaceDE/>
        <w:autoSpaceDN/>
        <w:ind w:firstLine="420"/>
      </w:pPr>
      <w:r>
        <w:rPr>
          <w:rFonts w:hint="eastAsia"/>
        </w:rPr>
        <w:t>康养场所应实施控制的病媒生物类别包括但不限于鼠、蚊、蝇、蜚蠊、蜱、跳蚤、臭虫、虱子等。</w:t>
      </w:r>
    </w:p>
    <w:p>
      <w:pPr>
        <w:pStyle w:val="57"/>
        <w:autoSpaceDE/>
        <w:autoSpaceDN/>
        <w:ind w:firstLine="420"/>
      </w:pPr>
    </w:p>
    <w:p>
      <w:pPr>
        <w:pStyle w:val="57"/>
        <w:autoSpaceDE/>
        <w:autoSpaceDN/>
        <w:ind w:firstLine="0" w:firstLineChars="0"/>
        <w:rPr>
          <w:rFonts w:hAnsi="宋体" w:cs="宋体"/>
          <w:color w:val="auto"/>
          <w:sz w:val="20"/>
          <w:highlight w:val="none"/>
        </w:rPr>
      </w:pPr>
      <w:r>
        <w:rPr>
          <w:rFonts w:hint="eastAsia" w:ascii="黑体" w:eastAsia="黑体"/>
          <w:color w:val="auto"/>
          <w:highlight w:val="none"/>
        </w:rPr>
        <w:t>5  防制原则</w:t>
      </w:r>
    </w:p>
    <w:p>
      <w:pPr>
        <w:pStyle w:val="57"/>
        <w:autoSpaceDE/>
        <w:autoSpaceDN/>
        <w:ind w:firstLine="400"/>
        <w:rPr>
          <w:rFonts w:hAnsi="宋体" w:cs="宋体"/>
          <w:color w:val="auto"/>
          <w:sz w:val="20"/>
          <w:highlight w:val="none"/>
        </w:rPr>
      </w:pPr>
      <w:bookmarkStart w:id="50" w:name="_Toc3913"/>
      <w:r>
        <w:rPr>
          <w:rFonts w:hint="eastAsia" w:hAnsi="宋体" w:cs="宋体"/>
          <w:color w:val="auto"/>
          <w:sz w:val="20"/>
          <w:highlight w:val="none"/>
          <w:lang w:val="en-US" w:eastAsia="zh-CN"/>
        </w:rPr>
        <w:t>康养场所</w:t>
      </w:r>
      <w:r>
        <w:rPr>
          <w:rFonts w:hint="eastAsia" w:hAnsi="宋体" w:cs="宋体"/>
          <w:color w:val="auto"/>
          <w:sz w:val="20"/>
          <w:highlight w:val="none"/>
        </w:rPr>
        <w:t>的病媒生物防制应结合</w:t>
      </w:r>
      <w:r>
        <w:rPr>
          <w:rFonts w:hint="eastAsia" w:hAnsi="宋体" w:cs="宋体"/>
          <w:color w:val="auto"/>
          <w:sz w:val="20"/>
          <w:highlight w:val="none"/>
          <w:lang w:val="en-US" w:eastAsia="zh-CN"/>
        </w:rPr>
        <w:t>康养场所</w:t>
      </w:r>
      <w:r>
        <w:rPr>
          <w:rFonts w:hint="eastAsia" w:hAnsi="宋体" w:cs="宋体"/>
          <w:color w:val="auto"/>
          <w:sz w:val="20"/>
          <w:highlight w:val="none"/>
        </w:rPr>
        <w:t>的环境特点和行业特殊性要求，以食品、人员、环境安全为前提，采取预防为主的控制措施，重点加强环境治理，清除鼠类、蝇类、蜚蠊、蚊虫孳生地和栖息场所，建立健全防鼠、防蚊蝇设施，优先选用物理</w:t>
      </w:r>
      <w:r>
        <w:rPr>
          <w:rFonts w:hint="eastAsia" w:hAnsi="宋体" w:cs="宋体"/>
          <w:color w:val="auto"/>
          <w:sz w:val="20"/>
          <w:highlight w:val="none"/>
          <w:lang w:val="en-US" w:eastAsia="zh-CN"/>
        </w:rPr>
        <w:t>防制</w:t>
      </w:r>
      <w:r>
        <w:rPr>
          <w:rFonts w:hint="eastAsia" w:hAnsi="宋体" w:cs="宋体"/>
          <w:color w:val="auto"/>
          <w:sz w:val="20"/>
          <w:highlight w:val="none"/>
        </w:rPr>
        <w:t>，必要时限制性使用化学</w:t>
      </w:r>
      <w:r>
        <w:rPr>
          <w:rFonts w:hint="eastAsia" w:hAnsi="宋体" w:cs="宋体"/>
          <w:color w:val="auto"/>
          <w:sz w:val="20"/>
          <w:highlight w:val="none"/>
          <w:lang w:val="en-US" w:eastAsia="zh-CN"/>
        </w:rPr>
        <w:t>防制</w:t>
      </w:r>
      <w:r>
        <w:rPr>
          <w:rFonts w:hint="eastAsia" w:hAnsi="宋体" w:cs="宋体"/>
          <w:color w:val="auto"/>
          <w:sz w:val="20"/>
          <w:highlight w:val="none"/>
        </w:rPr>
        <w:t>，有效控制病媒生物危害。</w:t>
      </w:r>
    </w:p>
    <w:bookmarkEnd w:id="50"/>
    <w:p>
      <w:pPr>
        <w:pStyle w:val="105"/>
        <w:numPr>
          <w:ilvl w:val="0"/>
          <w:numId w:val="32"/>
        </w:numPr>
        <w:spacing w:before="312" w:after="312"/>
        <w:rPr>
          <w:color w:val="auto"/>
          <w:highlight w:val="none"/>
        </w:rPr>
      </w:pPr>
      <w:r>
        <w:rPr>
          <w:rFonts w:hint="eastAsia"/>
          <w:color w:val="auto"/>
          <w:highlight w:val="none"/>
          <w:lang w:val="en-US" w:eastAsia="zh-CN"/>
        </w:rPr>
        <w:t>防制</w:t>
      </w:r>
      <w:r>
        <w:rPr>
          <w:rFonts w:hint="eastAsia"/>
          <w:color w:val="auto"/>
          <w:highlight w:val="none"/>
        </w:rPr>
        <w:t>措施</w:t>
      </w:r>
    </w:p>
    <w:p>
      <w:pPr>
        <w:pStyle w:val="106"/>
        <w:numPr>
          <w:ilvl w:val="0"/>
          <w:numId w:val="0"/>
        </w:numPr>
        <w:spacing w:before="156" w:after="156"/>
      </w:pPr>
      <w:bookmarkStart w:id="51" w:name="_Toc26909"/>
      <w:r>
        <w:rPr>
          <w:rFonts w:hint="eastAsia"/>
        </w:rPr>
        <w:t>6.1  环境治理</w:t>
      </w:r>
      <w:bookmarkEnd w:id="51"/>
    </w:p>
    <w:p>
      <w:pPr>
        <w:pStyle w:val="66"/>
        <w:numPr>
          <w:ilvl w:val="3"/>
          <w:numId w:val="0"/>
        </w:numPr>
        <w:spacing w:before="156" w:after="156"/>
        <w:ind w:leftChars="0"/>
        <w:rPr>
          <w:rFonts w:hint="eastAsia" w:ascii="宋体" w:hAnsi="宋体" w:eastAsia="宋体" w:cs="宋体"/>
          <w:color w:val="000000"/>
          <w:szCs w:val="21"/>
        </w:rPr>
      </w:pPr>
      <w:r>
        <w:rPr>
          <w:rFonts w:hint="eastAsia" w:ascii="宋体" w:hAnsi="宋体" w:eastAsia="宋体" w:cs="宋体"/>
          <w:color w:val="000000"/>
          <w:szCs w:val="21"/>
          <w:lang w:val="en-US" w:eastAsia="zh-CN"/>
        </w:rPr>
        <w:t>6.1.1 场所内的</w:t>
      </w:r>
      <w:r>
        <w:rPr>
          <w:rFonts w:hint="eastAsia" w:ascii="宋体" w:hAnsi="宋体" w:eastAsia="宋体" w:cs="宋体"/>
          <w:color w:val="000000"/>
          <w:szCs w:val="21"/>
        </w:rPr>
        <w:t>建筑外周应平整、硬化，避免泥土裸露，修剪草坪绿植，绿化植物与建筑物间隔至少1m，外周不得堆积杂物、建材和垃圾，查见鼠洞应封堵。</w:t>
      </w:r>
    </w:p>
    <w:p>
      <w:pPr>
        <w:pStyle w:val="57"/>
      </w:pPr>
    </w:p>
    <w:p>
      <w:pPr>
        <w:pStyle w:val="66"/>
        <w:numPr>
          <w:ilvl w:val="3"/>
          <w:numId w:val="0"/>
        </w:numPr>
        <w:spacing w:before="156" w:after="156"/>
        <w:ind w:leftChars="0"/>
        <w:rPr>
          <w:rFonts w:ascii="宋体" w:hAnsi="宋体" w:eastAsia="宋体" w:cs="宋体"/>
          <w:color w:val="000000"/>
          <w:spacing w:val="6"/>
          <w:szCs w:val="21"/>
        </w:rPr>
      </w:pPr>
      <w:r>
        <w:rPr>
          <w:rFonts w:hint="eastAsia" w:ascii="宋体" w:hAnsi="宋体" w:eastAsia="宋体" w:cs="宋体"/>
          <w:color w:val="000000"/>
          <w:szCs w:val="21"/>
          <w:lang w:val="en-US" w:eastAsia="zh-CN"/>
        </w:rPr>
        <w:t xml:space="preserve">6.1.2 </w:t>
      </w:r>
      <w:r>
        <w:rPr>
          <w:rFonts w:hint="eastAsia" w:ascii="宋体" w:hAnsi="宋体" w:eastAsia="宋体" w:cs="宋体"/>
          <w:color w:val="000000"/>
          <w:szCs w:val="21"/>
        </w:rPr>
        <w:t>地板、墙壁和天花板应封堵裂隙和孔洞，食品原材料和产品应离墙、离地面存放</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距离100mm以上，</w:t>
      </w:r>
      <w:r>
        <w:rPr>
          <w:rFonts w:hint="eastAsia" w:ascii="宋体" w:hAnsi="宋体" w:eastAsia="宋体" w:cs="宋体"/>
          <w:color w:val="000000"/>
          <w:szCs w:val="21"/>
        </w:rPr>
        <w:t>避免鼠类和蜚蠊藏匿。</w:t>
      </w:r>
    </w:p>
    <w:p>
      <w:pPr>
        <w:pStyle w:val="66"/>
        <w:numPr>
          <w:ilvl w:val="3"/>
          <w:numId w:val="0"/>
        </w:numPr>
        <w:spacing w:before="156" w:after="156"/>
        <w:ind w:leftChars="0"/>
        <w:rPr>
          <w:szCs w:val="21"/>
        </w:rPr>
      </w:pPr>
      <w:r>
        <w:rPr>
          <w:rFonts w:hint="eastAsia" w:ascii="宋体" w:hAnsi="宋体" w:eastAsia="宋体" w:cs="宋体"/>
          <w:color w:val="000000"/>
          <w:szCs w:val="21"/>
          <w:lang w:val="en-US" w:eastAsia="zh-CN"/>
        </w:rPr>
        <w:t xml:space="preserve">6.1.3 </w:t>
      </w:r>
      <w:r>
        <w:rPr>
          <w:rFonts w:hint="eastAsia" w:ascii="宋体" w:hAnsi="宋体" w:eastAsia="宋体" w:cs="宋体"/>
          <w:color w:val="000000"/>
          <w:szCs w:val="21"/>
        </w:rPr>
        <w:t>随时清理外</w:t>
      </w:r>
      <w:r>
        <w:rPr>
          <w:rFonts w:hint="eastAsia" w:ascii="宋体" w:hAnsi="宋体" w:eastAsia="宋体" w:cs="宋体"/>
          <w:color w:val="000000"/>
          <w:spacing w:val="6"/>
          <w:szCs w:val="21"/>
        </w:rPr>
        <w:t>环境的动物粪便、尸体、食物残渣等有机垃</w:t>
      </w:r>
      <w:r>
        <w:rPr>
          <w:rFonts w:hint="eastAsia" w:ascii="宋体" w:hAnsi="宋体" w:eastAsia="宋体" w:cs="宋体"/>
          <w:color w:val="000000"/>
          <w:spacing w:val="6"/>
          <w:szCs w:val="21"/>
          <w:highlight w:val="none"/>
        </w:rPr>
        <w:t>圾</w:t>
      </w:r>
      <w:r>
        <w:rPr>
          <w:rFonts w:hint="eastAsia" w:ascii="宋体" w:hAnsi="宋体" w:eastAsia="宋体" w:cs="宋体"/>
          <w:color w:val="000000"/>
          <w:spacing w:val="6"/>
          <w:szCs w:val="21"/>
          <w:highlight w:val="none"/>
          <w:lang w:eastAsia="zh-CN"/>
        </w:rPr>
        <w:t>，</w:t>
      </w:r>
      <w:r>
        <w:rPr>
          <w:rFonts w:hint="eastAsia" w:ascii="宋体" w:hAnsi="宋体" w:eastAsia="宋体" w:cs="宋体"/>
          <w:color w:val="000000"/>
          <w:spacing w:val="6"/>
          <w:szCs w:val="21"/>
          <w:highlight w:val="none"/>
          <w:lang w:val="en-US" w:eastAsia="zh-CN"/>
        </w:rPr>
        <w:t>防止鼠、蝇孳生</w:t>
      </w:r>
      <w:r>
        <w:rPr>
          <w:rFonts w:hint="eastAsia" w:ascii="宋体" w:hAnsi="宋体" w:eastAsia="宋体" w:cs="宋体"/>
          <w:color w:val="000000"/>
          <w:spacing w:val="6"/>
          <w:szCs w:val="21"/>
          <w:highlight w:val="none"/>
        </w:rPr>
        <w:t>；应设置足</w:t>
      </w:r>
      <w:r>
        <w:rPr>
          <w:rFonts w:hint="eastAsia" w:ascii="宋体" w:hAnsi="宋体" w:eastAsia="宋体" w:cs="宋体"/>
          <w:color w:val="000000"/>
          <w:spacing w:val="6"/>
          <w:szCs w:val="21"/>
        </w:rPr>
        <w:t>量的垃圾桶，生活垃圾、餐厨废弃物的收集设施应封闭管理，日产日</w:t>
      </w:r>
      <w:r>
        <w:rPr>
          <w:rFonts w:hint="eastAsia" w:ascii="宋体" w:hAnsi="宋体" w:eastAsia="宋体" w:cs="宋体"/>
          <w:color w:val="auto"/>
          <w:spacing w:val="6"/>
          <w:szCs w:val="21"/>
          <w:highlight w:val="none"/>
        </w:rPr>
        <w:t>清，放置点地面应硬化，及时清洁设施和地面。</w:t>
      </w:r>
    </w:p>
    <w:p>
      <w:pPr>
        <w:pStyle w:val="66"/>
        <w:numPr>
          <w:ilvl w:val="3"/>
          <w:numId w:val="0"/>
        </w:numPr>
        <w:spacing w:before="156" w:after="156"/>
        <w:ind w:leftChars="0"/>
        <w:rPr>
          <w:rFonts w:hint="eastAsia" w:ascii="宋体" w:hAnsi="宋体" w:eastAsia="宋体" w:cs="宋体"/>
          <w:color w:val="000000"/>
          <w:szCs w:val="21"/>
        </w:rPr>
      </w:pPr>
      <w:r>
        <w:rPr>
          <w:rFonts w:hint="eastAsia" w:ascii="宋体" w:hAnsi="宋体" w:eastAsia="宋体" w:cs="宋体"/>
          <w:color w:val="FF0000"/>
          <w:spacing w:val="6"/>
          <w:szCs w:val="21"/>
          <w:lang w:val="en-US" w:eastAsia="zh-CN"/>
        </w:rPr>
        <w:t>6.1.4 户外场地在</w:t>
      </w:r>
      <w:r>
        <w:rPr>
          <w:rFonts w:hint="eastAsia" w:ascii="宋体" w:hAnsi="宋体" w:eastAsia="宋体" w:cs="宋体"/>
          <w:color w:val="auto"/>
          <w:spacing w:val="6"/>
          <w:szCs w:val="21"/>
          <w:highlight w:val="none"/>
        </w:rPr>
        <w:t>雨季前重点清除散在垃圾和外环境中的落叶，</w:t>
      </w:r>
      <w:r>
        <w:rPr>
          <w:rFonts w:hint="eastAsia" w:ascii="宋体" w:hAnsi="宋体" w:eastAsia="宋体" w:cs="宋体"/>
          <w:color w:val="auto"/>
          <w:spacing w:val="6"/>
          <w:szCs w:val="21"/>
          <w:highlight w:val="none"/>
          <w:lang w:val="en-US" w:eastAsia="zh-CN"/>
        </w:rPr>
        <w:t>减少外环境</w:t>
      </w:r>
      <w:r>
        <w:rPr>
          <w:rFonts w:hint="eastAsia" w:ascii="宋体" w:hAnsi="宋体" w:eastAsia="宋体" w:cs="宋体"/>
          <w:color w:val="auto"/>
          <w:spacing w:val="6"/>
          <w:szCs w:val="21"/>
          <w:highlight w:val="none"/>
        </w:rPr>
        <w:t>伊蚊蚊卵</w:t>
      </w:r>
      <w:r>
        <w:rPr>
          <w:rFonts w:hint="eastAsia" w:ascii="宋体" w:hAnsi="宋体" w:eastAsia="宋体" w:cs="宋体"/>
          <w:color w:val="auto"/>
          <w:spacing w:val="6"/>
          <w:szCs w:val="21"/>
          <w:highlight w:val="none"/>
          <w:lang w:val="en-US" w:eastAsia="zh-CN"/>
        </w:rPr>
        <w:t>数量</w:t>
      </w:r>
      <w:r>
        <w:rPr>
          <w:rFonts w:hint="eastAsia" w:ascii="宋体" w:hAnsi="宋体" w:eastAsia="宋体" w:cs="宋体"/>
          <w:color w:val="auto"/>
          <w:spacing w:val="6"/>
          <w:szCs w:val="21"/>
          <w:highlight w:val="none"/>
          <w:lang w:eastAsia="zh-CN"/>
        </w:rPr>
        <w:t>，</w:t>
      </w:r>
      <w:r>
        <w:rPr>
          <w:rFonts w:hint="eastAsia" w:ascii="宋体" w:hAnsi="宋体" w:eastAsia="宋体" w:cs="宋体"/>
          <w:color w:val="auto"/>
          <w:spacing w:val="6"/>
          <w:szCs w:val="21"/>
          <w:highlight w:val="none"/>
          <w:lang w:val="en-US" w:eastAsia="zh-CN"/>
        </w:rPr>
        <w:t>雨季期间及时</w:t>
      </w:r>
      <w:r>
        <w:rPr>
          <w:rFonts w:hint="eastAsia" w:ascii="宋体" w:hAnsi="宋体" w:eastAsia="宋体" w:cs="宋体"/>
          <w:color w:val="auto"/>
          <w:spacing w:val="6"/>
          <w:szCs w:val="21"/>
          <w:highlight w:val="none"/>
        </w:rPr>
        <w:t>清除</w:t>
      </w:r>
      <w:r>
        <w:rPr>
          <w:rFonts w:ascii="宋体" w:hAnsi="宋体" w:eastAsia="宋体" w:cs="宋体"/>
          <w:color w:val="auto"/>
          <w:spacing w:val="6"/>
          <w:szCs w:val="21"/>
          <w:highlight w:val="none"/>
        </w:rPr>
        <w:t>内</w:t>
      </w:r>
      <w:r>
        <w:rPr>
          <w:rFonts w:hint="eastAsia" w:ascii="宋体" w:hAnsi="宋体" w:eastAsia="宋体" w:cs="宋体"/>
          <w:color w:val="auto"/>
          <w:spacing w:val="6"/>
          <w:szCs w:val="21"/>
          <w:highlight w:val="none"/>
        </w:rPr>
        <w:t>外环境积水</w:t>
      </w:r>
      <w:r>
        <w:rPr>
          <w:rFonts w:hint="eastAsia" w:ascii="宋体" w:hAnsi="宋体" w:eastAsia="宋体" w:cs="宋体"/>
          <w:color w:val="auto"/>
          <w:spacing w:val="6"/>
          <w:szCs w:val="21"/>
          <w:highlight w:val="none"/>
          <w:lang w:eastAsia="zh-CN"/>
        </w:rPr>
        <w:t>；</w:t>
      </w:r>
      <w:r>
        <w:rPr>
          <w:rFonts w:hint="eastAsia" w:ascii="宋体" w:hAnsi="宋体" w:eastAsia="宋体" w:cs="宋体"/>
          <w:color w:val="auto"/>
          <w:szCs w:val="21"/>
          <w:highlight w:val="none"/>
        </w:rPr>
        <w:t>种养水生植物的容器应每周清洗换水，清除叶腋、花盆托盘积水、冰箱及空调冷凝水，下水道、沟渠</w:t>
      </w:r>
      <w:r>
        <w:rPr>
          <w:rFonts w:ascii="宋体" w:hAnsi="宋体" w:eastAsia="宋体" w:cs="宋体"/>
          <w:color w:val="auto"/>
          <w:szCs w:val="21"/>
          <w:highlight w:val="none"/>
        </w:rPr>
        <w:t>加盖加网或</w:t>
      </w:r>
      <w:r>
        <w:rPr>
          <w:rFonts w:hint="eastAsia" w:ascii="宋体" w:hAnsi="宋体" w:eastAsia="宋体" w:cs="宋体"/>
          <w:color w:val="auto"/>
          <w:szCs w:val="21"/>
          <w:highlight w:val="none"/>
        </w:rPr>
        <w:t>定期疏通清理</w:t>
      </w:r>
      <w:r>
        <w:rPr>
          <w:rFonts w:ascii="宋体" w:hAnsi="宋体" w:eastAsia="宋体" w:cs="宋体"/>
          <w:color w:val="auto"/>
          <w:szCs w:val="21"/>
          <w:highlight w:val="none"/>
        </w:rPr>
        <w:t>，防止</w:t>
      </w:r>
      <w:r>
        <w:rPr>
          <w:rFonts w:hint="eastAsia" w:ascii="宋体" w:hAnsi="宋体" w:eastAsia="宋体" w:cs="宋体"/>
          <w:color w:val="auto"/>
          <w:szCs w:val="21"/>
          <w:highlight w:val="none"/>
        </w:rPr>
        <w:t>蚊</w:t>
      </w:r>
      <w:r>
        <w:rPr>
          <w:rFonts w:hint="eastAsia" w:ascii="宋体" w:hAnsi="宋体" w:eastAsia="宋体" w:cs="宋体"/>
          <w:color w:val="000000"/>
          <w:szCs w:val="21"/>
        </w:rPr>
        <w:t>虫孳生</w:t>
      </w:r>
      <w:r>
        <w:rPr>
          <w:rFonts w:ascii="宋体" w:hAnsi="宋体" w:eastAsia="宋体" w:cs="宋体"/>
          <w:color w:val="000000"/>
          <w:szCs w:val="21"/>
        </w:rPr>
        <w:t>；</w:t>
      </w:r>
      <w:r>
        <w:rPr>
          <w:rFonts w:hint="eastAsia" w:ascii="宋体" w:hAnsi="宋体" w:eastAsia="宋体" w:cs="宋体"/>
          <w:color w:val="000000"/>
          <w:szCs w:val="21"/>
        </w:rPr>
        <w:t>如无法清换的大中型水体，可放养鱼类。</w:t>
      </w:r>
    </w:p>
    <w:p>
      <w:pPr>
        <w:pStyle w:val="66"/>
        <w:numPr>
          <w:ilvl w:val="3"/>
          <w:numId w:val="0"/>
        </w:numPr>
        <w:spacing w:before="156" w:after="156"/>
        <w:ind w:leftChars="0"/>
      </w:pPr>
      <w:r>
        <w:rPr>
          <w:rFonts w:hint="eastAsia" w:ascii="宋体" w:hAnsi="宋体" w:eastAsia="宋体" w:cs="宋体"/>
          <w:color w:val="000000"/>
          <w:szCs w:val="21"/>
          <w:lang w:val="en-US" w:eastAsia="zh-CN"/>
        </w:rPr>
        <w:t xml:space="preserve">6.1.5 </w:t>
      </w:r>
      <w:r>
        <w:rPr>
          <w:rFonts w:hint="eastAsia" w:ascii="宋体" w:hAnsi="宋体" w:eastAsia="宋体" w:cs="宋体"/>
          <w:color w:val="000000"/>
          <w:szCs w:val="21"/>
        </w:rPr>
        <w:t>应管理好</w:t>
      </w:r>
      <w:r>
        <w:rPr>
          <w:rFonts w:hint="eastAsia" w:ascii="宋体" w:hAnsi="宋体" w:eastAsia="宋体" w:cs="宋体"/>
          <w:color w:val="000000"/>
          <w:szCs w:val="21"/>
          <w:lang w:val="en-US" w:eastAsia="zh-CN"/>
        </w:rPr>
        <w:t>场所</w:t>
      </w:r>
      <w:r>
        <w:rPr>
          <w:rFonts w:hint="eastAsia" w:ascii="宋体" w:hAnsi="宋体" w:eastAsia="宋体" w:cs="宋体"/>
          <w:color w:val="000000"/>
          <w:szCs w:val="21"/>
        </w:rPr>
        <w:t>内</w:t>
      </w:r>
      <w:r>
        <w:rPr>
          <w:rFonts w:hint="eastAsia" w:ascii="宋体" w:hAnsi="宋体" w:eastAsia="宋体" w:cs="宋体"/>
          <w:color w:val="000000"/>
          <w:szCs w:val="21"/>
          <w:lang w:val="en-US" w:eastAsia="zh-CN"/>
        </w:rPr>
        <w:t>猫、犬、鸟等观赏宠物</w:t>
      </w:r>
      <w:r>
        <w:rPr>
          <w:rFonts w:hint="eastAsia" w:ascii="宋体" w:hAnsi="宋体" w:eastAsia="宋体" w:cs="宋体"/>
          <w:color w:val="000000"/>
          <w:szCs w:val="21"/>
          <w:lang w:eastAsia="zh-CN"/>
        </w:rPr>
        <w:t>，</w:t>
      </w:r>
      <w:r>
        <w:rPr>
          <w:rFonts w:hint="eastAsia" w:ascii="宋体" w:hAnsi="宋体" w:eastAsia="宋体" w:cs="宋体"/>
          <w:color w:val="000000"/>
          <w:szCs w:val="21"/>
        </w:rPr>
        <w:t>防止流浪猫、犬等宿主动物的侵入</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家禽家畜在相对独立区域饲养，管理好粪便、尿液等排泄物，并进行无害化处理；露营地、农场绿地、景区步道等户外场地定期修剪绿植草地，清除杂草、杂物，定期打扫圈舍，圈舍内外的缝隙应涂抹石灰等进行填补，破坏病媒生物孳生环境；</w:t>
      </w:r>
      <w:r>
        <w:rPr>
          <w:rFonts w:hint="eastAsia" w:ascii="宋体" w:hAnsi="宋体" w:eastAsia="宋体" w:cs="宋体"/>
          <w:color w:val="000000"/>
          <w:szCs w:val="21"/>
        </w:rPr>
        <w:t>及时隔离有蜱、蚤、虱等寄生的动物，杀虫治愈后方可解除隔离。</w:t>
      </w:r>
    </w:p>
    <w:p>
      <w:pPr>
        <w:pStyle w:val="106"/>
        <w:numPr>
          <w:ilvl w:val="2"/>
          <w:numId w:val="0"/>
        </w:numPr>
        <w:spacing w:before="156" w:after="156"/>
        <w:ind w:leftChars="0"/>
      </w:pPr>
      <w:bookmarkStart w:id="52" w:name="_Toc90150216"/>
      <w:bookmarkStart w:id="53" w:name="_Toc22329"/>
      <w:r>
        <w:rPr>
          <w:rFonts w:hint="eastAsia"/>
          <w:lang w:val="en-US" w:eastAsia="zh-CN"/>
        </w:rPr>
        <w:t xml:space="preserve">6.2 </w:t>
      </w:r>
      <w:r>
        <w:rPr>
          <w:rFonts w:hint="eastAsia"/>
        </w:rPr>
        <w:t>物理防制</w:t>
      </w:r>
      <w:bookmarkEnd w:id="52"/>
      <w:bookmarkEnd w:id="53"/>
    </w:p>
    <w:p>
      <w:pPr>
        <w:pStyle w:val="66"/>
        <w:numPr>
          <w:ilvl w:val="3"/>
          <w:numId w:val="0"/>
        </w:numPr>
        <w:spacing w:before="156" w:after="156"/>
        <w:ind w:leftChars="0"/>
        <w:rPr>
          <w:rFonts w:ascii="宋体" w:hAnsi="宋体" w:eastAsia="宋体" w:cs="宋体"/>
          <w:color w:val="000000"/>
          <w:spacing w:val="6"/>
          <w:sz w:val="20"/>
        </w:rPr>
      </w:pPr>
      <w:r>
        <w:rPr>
          <w:rFonts w:hint="eastAsia" w:ascii="宋体" w:hAnsi="宋体" w:eastAsia="宋体" w:cs="宋体"/>
          <w:color w:val="000000"/>
          <w:szCs w:val="21"/>
          <w:lang w:val="en-US" w:eastAsia="zh-CN"/>
        </w:rPr>
        <w:t xml:space="preserve">6.2.1 </w:t>
      </w:r>
      <w:r>
        <w:rPr>
          <w:rFonts w:hint="eastAsia" w:ascii="宋体" w:hAnsi="宋体" w:eastAsia="宋体" w:cs="宋体"/>
          <w:color w:val="000000"/>
          <w:szCs w:val="21"/>
        </w:rPr>
        <w:t>宜采用粘鼠板、粘蟑纸、捕鼠器、灭蝇灯、诱蝇笼等物理方法灭虫灭鼠，所有装置放置和维护需要谨慎，防止造成食品污染和人员伤害。粘鼠板、粘蟑纸、鼠夹、鼠笼等应沿墙根布放，鼠夹应避开人群活动区域。食品加工区、就餐区宜离地2m左右处安装粘捕式灭蝇灯；电击式灭蝇灯不得悬挂在食品加工区、送餐通道及餐桌的上方，且灭蝇灯应设置紧贴下沿</w:t>
      </w:r>
      <w:r>
        <w:rPr>
          <w:rFonts w:hint="eastAsia" w:ascii="宋体" w:hAnsi="宋体" w:eastAsia="宋体" w:cs="宋体"/>
          <w:color w:val="000000"/>
          <w:szCs w:val="21"/>
          <w:lang w:val="en-US" w:eastAsia="zh-CN"/>
        </w:rPr>
        <w:t>不小于</w:t>
      </w:r>
      <w:r>
        <w:rPr>
          <w:rFonts w:hint="eastAsia" w:ascii="宋体" w:hAnsi="宋体" w:eastAsia="宋体" w:cs="宋体"/>
          <w:color w:val="000000"/>
          <w:szCs w:val="21"/>
        </w:rPr>
        <w:t>200 mm</w:t>
      </w:r>
      <w:r>
        <w:rPr>
          <w:rFonts w:hint="eastAsia" w:ascii="宋体" w:hAnsi="宋体" w:eastAsia="宋体" w:cs="宋体"/>
          <w:color w:val="000000"/>
          <w:szCs w:val="21"/>
          <w:lang w:val="en-US" w:eastAsia="zh-CN"/>
        </w:rPr>
        <w:t>宽</w:t>
      </w:r>
      <w:r>
        <w:rPr>
          <w:rFonts w:hint="eastAsia" w:ascii="宋体" w:hAnsi="宋体" w:eastAsia="宋体" w:cs="宋体"/>
          <w:color w:val="000000"/>
          <w:szCs w:val="21"/>
        </w:rPr>
        <w:t>的托盘以防虫体掉落，灭蝇灯安装距离地面高度在2m左右</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不宜贴墙、对门窗悬挂</w:t>
      </w:r>
      <w:r>
        <w:rPr>
          <w:rFonts w:hint="eastAsia" w:ascii="宋体" w:hAnsi="宋体" w:eastAsia="宋体" w:cs="宋体"/>
          <w:color w:val="000000"/>
          <w:szCs w:val="21"/>
        </w:rPr>
        <w:t>。诱蝇笼、灭蚊灯等应放置在绿化带荫蔽处，高度不超过2m，诱蝇笼诱饵定期更换。</w:t>
      </w:r>
    </w:p>
    <w:p>
      <w:pPr>
        <w:pStyle w:val="66"/>
        <w:numPr>
          <w:ilvl w:val="0"/>
          <w:numId w:val="0"/>
        </w:numPr>
        <w:spacing w:before="156" w:after="156"/>
        <w:rPr>
          <w:rFonts w:ascii="宋体" w:hAnsi="宋体" w:eastAsia="宋体" w:cs="宋体"/>
          <w:color w:val="000000"/>
          <w:spacing w:val="6"/>
          <w:sz w:val="20"/>
        </w:rPr>
      </w:pPr>
      <w:r>
        <w:rPr>
          <w:rFonts w:hint="eastAsia" w:ascii="宋体" w:hAnsi="宋体" w:eastAsia="宋体" w:cs="宋体"/>
          <w:lang w:val="en-US" w:eastAsia="zh-CN"/>
        </w:rPr>
        <w:t xml:space="preserve">6.2.2 </w:t>
      </w:r>
      <w:r>
        <w:rPr>
          <w:rFonts w:hint="eastAsia" w:ascii="宋体" w:hAnsi="宋体" w:eastAsia="宋体" w:cs="宋体"/>
          <w:color w:val="000000"/>
          <w:szCs w:val="21"/>
        </w:rPr>
        <w:t>与外界相连的门，门缝隙应小于6mm；木门和门框的底部应包铁皮，高 300 mm；食品处理区所有与外界相通的门和食品库房门口应有挡鼠板，高 600mm；窗和通风口，一楼或地下室窗户玻璃应无破损，排风扇或通风口有金属网罩，网眼直径</w:t>
      </w:r>
      <w:r>
        <w:rPr>
          <w:rFonts w:hint="eastAsia" w:ascii="宋体" w:hAnsi="宋体" w:eastAsia="宋体" w:cs="宋体"/>
          <w:color w:val="000000"/>
          <w:szCs w:val="21"/>
          <w:lang w:eastAsia="zh-CN"/>
        </w:rPr>
        <w:t>不</w:t>
      </w:r>
      <w:r>
        <w:rPr>
          <w:rFonts w:hint="eastAsia" w:ascii="宋体" w:hAnsi="宋体" w:eastAsia="宋体" w:cs="宋体"/>
          <w:color w:val="000000"/>
          <w:szCs w:val="21"/>
          <w:lang w:val="en-US" w:eastAsia="zh-CN"/>
        </w:rPr>
        <w:t>超过</w:t>
      </w:r>
      <w:r>
        <w:rPr>
          <w:rFonts w:hint="eastAsia" w:ascii="宋体" w:hAnsi="宋体" w:eastAsia="宋体" w:cs="宋体"/>
          <w:color w:val="000000"/>
          <w:szCs w:val="21"/>
        </w:rPr>
        <w:t>6mm；进入室内的供排水、电缆、煤气和空调等管线的墙洞及外墙管道应堵塞，孔洞缝隙的直径</w:t>
      </w:r>
      <w:r>
        <w:rPr>
          <w:rFonts w:hint="eastAsia" w:ascii="宋体" w:hAnsi="宋体" w:eastAsia="宋体" w:cs="宋体"/>
          <w:color w:val="000000"/>
          <w:szCs w:val="21"/>
          <w:lang w:val="en-US" w:eastAsia="zh-CN"/>
        </w:rPr>
        <w:t>不超过</w:t>
      </w:r>
      <w:r>
        <w:rPr>
          <w:rFonts w:hint="eastAsia" w:ascii="宋体" w:hAnsi="宋体" w:eastAsia="宋体" w:cs="宋体"/>
          <w:color w:val="000000"/>
          <w:szCs w:val="21"/>
        </w:rPr>
        <w:t>6mm；与外环境或市政下水道相通的下水道口，应安装竖箅子(金属栏栅)或不锈钢过滤框，缝隙或孔径小于</w:t>
      </w:r>
      <w:r>
        <w:rPr>
          <w:rFonts w:hint="eastAsia" w:ascii="宋体" w:hAnsi="宋体" w:eastAsia="宋体" w:cs="宋体"/>
          <w:color w:val="000000"/>
          <w:szCs w:val="21"/>
          <w:lang w:val="en-US" w:eastAsia="zh-CN"/>
        </w:rPr>
        <w:t>10</w:t>
      </w:r>
      <w:r>
        <w:rPr>
          <w:rFonts w:hint="eastAsia" w:ascii="宋体" w:hAnsi="宋体" w:eastAsia="宋体" w:cs="宋体"/>
          <w:color w:val="000000"/>
          <w:szCs w:val="21"/>
        </w:rPr>
        <w:t>mm，与下水道贴合且无缺损；地漏</w:t>
      </w:r>
      <w:r>
        <w:rPr>
          <w:rFonts w:hint="eastAsia" w:ascii="宋体" w:hAnsi="宋体" w:eastAsia="宋体" w:cs="宋体"/>
          <w:color w:val="000000"/>
          <w:szCs w:val="21"/>
          <w:lang w:val="en-US" w:eastAsia="zh-CN"/>
        </w:rPr>
        <w:t>应带水封并</w:t>
      </w:r>
      <w:r>
        <w:rPr>
          <w:rFonts w:hint="eastAsia" w:ascii="宋体" w:hAnsi="宋体" w:eastAsia="宋体" w:cs="宋体"/>
          <w:color w:val="000000"/>
          <w:szCs w:val="21"/>
        </w:rPr>
        <w:t>加盖。</w:t>
      </w:r>
    </w:p>
    <w:p>
      <w:pPr>
        <w:pStyle w:val="66"/>
        <w:numPr>
          <w:ilvl w:val="0"/>
          <w:numId w:val="0"/>
        </w:numPr>
        <w:spacing w:before="156" w:after="156"/>
        <w:rPr>
          <w:rFonts w:hint="eastAsia" w:ascii="宋体" w:hAnsi="宋体" w:eastAsia="宋体" w:cs="宋体"/>
        </w:rPr>
      </w:pPr>
      <w:r>
        <w:rPr>
          <w:rFonts w:hint="eastAsia" w:ascii="宋体" w:hAnsi="宋体" w:eastAsia="宋体" w:cs="宋体"/>
          <w:color w:val="000000"/>
          <w:szCs w:val="21"/>
          <w:lang w:val="en-US" w:eastAsia="zh-CN"/>
        </w:rPr>
        <w:t xml:space="preserve">6.2.3 </w:t>
      </w:r>
      <w:r>
        <w:rPr>
          <w:rFonts w:hint="eastAsia" w:ascii="宋体" w:hAnsi="宋体" w:eastAsia="宋体" w:cs="宋体"/>
          <w:color w:val="000000"/>
          <w:szCs w:val="21"/>
        </w:rPr>
        <w:t>与外界相</w:t>
      </w:r>
      <w:r>
        <w:rPr>
          <w:rFonts w:hint="eastAsia" w:ascii="宋体" w:hAnsi="宋体" w:eastAsia="宋体" w:cs="宋体"/>
        </w:rPr>
        <w:t>通的门或窗应有防蚊蝇设施，纱门、纱窗等网纱密度不低于16目，孔径应小于1.25mm。与外界相通</w:t>
      </w:r>
      <w:r>
        <w:rPr>
          <w:rFonts w:hint="eastAsia" w:ascii="宋体" w:hAnsi="宋体" w:eastAsia="宋体" w:cs="宋体"/>
          <w:highlight w:val="none"/>
        </w:rPr>
        <w:t>的门口应安装防蝇帘</w:t>
      </w:r>
      <w:r>
        <w:rPr>
          <w:rFonts w:hint="eastAsia" w:ascii="宋体" w:hAnsi="宋体" w:eastAsia="宋体" w:cs="宋体"/>
          <w:highlight w:val="none"/>
          <w:lang w:eastAsia="zh-CN"/>
        </w:rPr>
        <w:t>（</w:t>
      </w:r>
      <w:r>
        <w:rPr>
          <w:rFonts w:hint="eastAsia" w:ascii="宋体" w:hAnsi="宋体" w:eastAsia="宋体" w:cs="宋体"/>
          <w:highlight w:val="none"/>
          <w:lang w:val="en-US" w:eastAsia="zh-CN"/>
        </w:rPr>
        <w:t>磁吸式）</w:t>
      </w:r>
      <w:r>
        <w:rPr>
          <w:rFonts w:hint="eastAsia" w:ascii="宋体" w:hAnsi="宋体" w:eastAsia="宋体" w:cs="宋体"/>
          <w:highlight w:val="none"/>
        </w:rPr>
        <w:t>或风幕机</w:t>
      </w:r>
      <w:r>
        <w:rPr>
          <w:rFonts w:hint="eastAsia" w:ascii="宋体" w:hAnsi="宋体" w:eastAsia="宋体" w:cs="宋体"/>
        </w:rPr>
        <w:t>等设施。</w:t>
      </w:r>
      <w:r>
        <w:rPr>
          <w:rFonts w:hint="eastAsia" w:ascii="宋体" w:hAnsi="宋体" w:eastAsia="宋体" w:cs="宋体"/>
          <w:lang w:val="en-US" w:eastAsia="zh-CN"/>
        </w:rPr>
        <w:t>非磁吸式</w:t>
      </w:r>
      <w:r>
        <w:rPr>
          <w:rFonts w:hint="eastAsia" w:ascii="宋体" w:hAnsi="宋体" w:eastAsia="宋体" w:cs="宋体"/>
        </w:rPr>
        <w:t>防蝇帘应覆盖门宽，胶片之间重叠</w:t>
      </w:r>
      <w:r>
        <w:rPr>
          <w:rFonts w:hint="eastAsia" w:ascii="宋体" w:hAnsi="宋体" w:eastAsia="宋体" w:cs="宋体"/>
          <w:lang w:val="en-US" w:eastAsia="zh-CN"/>
        </w:rPr>
        <w:t>宽度</w:t>
      </w:r>
      <w:r>
        <w:rPr>
          <w:rFonts w:hint="eastAsia" w:ascii="宋体" w:hAnsi="宋体" w:eastAsia="宋体" w:cs="宋体"/>
          <w:lang w:eastAsia="zh-CN"/>
        </w:rPr>
        <w:t>不小于</w:t>
      </w:r>
      <w:r>
        <w:rPr>
          <w:rFonts w:hint="eastAsia" w:ascii="宋体" w:hAnsi="宋体" w:eastAsia="宋体" w:cs="宋体"/>
        </w:rPr>
        <w:t>20mm，离地</w:t>
      </w:r>
      <w:r>
        <w:rPr>
          <w:rFonts w:hint="eastAsia" w:ascii="宋体" w:hAnsi="宋体" w:eastAsia="宋体" w:cs="宋体"/>
          <w:lang w:eastAsia="zh-CN"/>
        </w:rPr>
        <w:t>不</w:t>
      </w:r>
      <w:r>
        <w:rPr>
          <w:rFonts w:hint="eastAsia" w:ascii="宋体" w:hAnsi="宋体" w:eastAsia="宋体" w:cs="宋体"/>
          <w:lang w:val="en-US" w:eastAsia="zh-CN"/>
        </w:rPr>
        <w:t>超过</w:t>
      </w:r>
      <w:r>
        <w:rPr>
          <w:rFonts w:hint="eastAsia" w:ascii="宋体" w:hAnsi="宋体" w:eastAsia="宋体" w:cs="宋体"/>
        </w:rPr>
        <w:t>20mm。风幕机应覆盖门宽，出风口斜向外30°，风速不低于7.62m/s。</w:t>
      </w:r>
    </w:p>
    <w:p>
      <w:pPr>
        <w:pStyle w:val="66"/>
        <w:numPr>
          <w:ilvl w:val="3"/>
          <w:numId w:val="0"/>
        </w:numPr>
        <w:spacing w:before="156" w:after="156"/>
        <w:ind w:leftChars="0"/>
        <w:rPr>
          <w:rFonts w:ascii="宋体" w:hAnsi="宋体" w:eastAsia="宋体" w:cs="宋体"/>
          <w:strike/>
          <w:dstrike w:val="0"/>
        </w:rPr>
      </w:pPr>
      <w:r>
        <w:rPr>
          <w:rFonts w:hint="eastAsia" w:ascii="宋体" w:hAnsi="宋体" w:eastAsia="宋体" w:cs="宋体"/>
          <w:lang w:val="en-US" w:eastAsia="zh-CN"/>
        </w:rPr>
        <w:t xml:space="preserve">6.2.4 </w:t>
      </w:r>
      <w:r>
        <w:rPr>
          <w:rFonts w:hint="eastAsia" w:ascii="宋体" w:hAnsi="宋体" w:eastAsia="宋体" w:cs="宋体"/>
        </w:rPr>
        <w:t>销售散装直接入口食品，应加装防蝇柜（防蝇罩）或使用冷藏柜</w:t>
      </w:r>
      <w:r>
        <w:rPr>
          <w:rFonts w:hint="eastAsia" w:ascii="宋体" w:hAnsi="宋体" w:eastAsia="宋体" w:cs="宋体"/>
          <w:lang w:eastAsia="zh-CN"/>
        </w:rPr>
        <w:t>，</w:t>
      </w:r>
      <w:r>
        <w:rPr>
          <w:rFonts w:hint="eastAsia" w:ascii="宋体" w:hAnsi="宋体" w:eastAsia="宋体" w:cs="宋体"/>
          <w:lang w:val="en-US" w:eastAsia="zh-CN"/>
        </w:rPr>
        <w:t>不得暴露销售</w:t>
      </w:r>
      <w:r>
        <w:rPr>
          <w:rFonts w:hint="eastAsia" w:ascii="宋体" w:hAnsi="宋体" w:eastAsia="宋体" w:cs="宋体"/>
        </w:rPr>
        <w:t>。</w:t>
      </w:r>
    </w:p>
    <w:p>
      <w:pPr>
        <w:pStyle w:val="66"/>
        <w:numPr>
          <w:ilvl w:val="3"/>
          <w:numId w:val="0"/>
        </w:numPr>
        <w:spacing w:before="156" w:after="156"/>
        <w:ind w:leftChars="0"/>
        <w:rPr>
          <w:rFonts w:hint="eastAsia" w:ascii="宋体" w:hAnsi="宋体" w:eastAsia="宋体" w:cs="宋体"/>
          <w:color w:val="000000"/>
          <w:spacing w:val="6"/>
          <w:sz w:val="20"/>
        </w:rPr>
      </w:pPr>
      <w:r>
        <w:rPr>
          <w:rFonts w:hint="eastAsia" w:ascii="宋体" w:hAnsi="宋体" w:eastAsia="宋体" w:cs="宋体"/>
          <w:color w:val="000000"/>
          <w:sz w:val="20"/>
          <w:lang w:val="en-US" w:eastAsia="zh-CN"/>
        </w:rPr>
        <w:t xml:space="preserve">6.2.5 </w:t>
      </w:r>
      <w:r>
        <w:rPr>
          <w:rFonts w:hint="eastAsia" w:ascii="宋体" w:hAnsi="宋体" w:eastAsia="宋体" w:cs="宋体"/>
          <w:color w:val="000000"/>
          <w:sz w:val="20"/>
        </w:rPr>
        <w:t>绿化、消防或其它储水容器密闭或加盖防蚊网，下水道口、排水沟、雨水井口等可安装防蚊网，防蚊网网眼密度</w:t>
      </w:r>
      <w:r>
        <w:rPr>
          <w:rFonts w:hint="eastAsia" w:ascii="宋体" w:hAnsi="宋体" w:eastAsia="宋体" w:cs="宋体"/>
          <w:color w:val="000000"/>
          <w:spacing w:val="6"/>
          <w:sz w:val="20"/>
        </w:rPr>
        <w:t>不小于16目，孔径应小于1.25mm。</w:t>
      </w:r>
    </w:p>
    <w:bookmarkEnd w:id="24"/>
    <w:p>
      <w:pPr>
        <w:pStyle w:val="199"/>
        <w:rPr>
          <w:vanish w:val="0"/>
        </w:rPr>
      </w:pPr>
      <w:bookmarkStart w:id="54" w:name="BookMark5"/>
    </w:p>
    <w:p>
      <w:pPr>
        <w:pStyle w:val="106"/>
        <w:numPr>
          <w:ilvl w:val="2"/>
          <w:numId w:val="0"/>
        </w:numPr>
        <w:spacing w:before="156" w:after="156"/>
        <w:ind w:leftChars="0"/>
      </w:pPr>
      <w:bookmarkStart w:id="55" w:name="_Toc25232"/>
      <w:r>
        <w:rPr>
          <w:rFonts w:hint="eastAsia"/>
          <w:lang w:val="en-US" w:eastAsia="zh-CN"/>
        </w:rPr>
        <w:t xml:space="preserve">6.3 </w:t>
      </w:r>
      <w:r>
        <w:rPr>
          <w:rFonts w:hint="eastAsia"/>
        </w:rPr>
        <w:t>化学防制</w:t>
      </w:r>
      <w:bookmarkEnd w:id="55"/>
    </w:p>
    <w:p>
      <w:pPr>
        <w:pStyle w:val="66"/>
        <w:numPr>
          <w:ilvl w:val="3"/>
          <w:numId w:val="0"/>
        </w:numPr>
        <w:spacing w:before="156" w:after="156"/>
        <w:ind w:leftChars="0"/>
      </w:pPr>
      <w:r>
        <w:rPr>
          <w:rFonts w:hint="eastAsia" w:ascii="宋体" w:hAnsi="宋体" w:eastAsia="宋体" w:cs="宋体"/>
          <w:color w:val="000000"/>
          <w:szCs w:val="21"/>
          <w:lang w:val="en-US" w:eastAsia="zh-CN"/>
        </w:rPr>
        <w:t xml:space="preserve">6.3.1 </w:t>
      </w:r>
      <w:r>
        <w:rPr>
          <w:rFonts w:hint="eastAsia" w:ascii="宋体" w:hAnsi="宋体" w:eastAsia="宋体" w:cs="宋体"/>
          <w:color w:val="000000"/>
          <w:szCs w:val="21"/>
        </w:rPr>
        <w:t>选</w:t>
      </w:r>
      <w:r>
        <w:rPr>
          <w:rFonts w:hint="eastAsia" w:ascii="宋体" w:hAnsi="宋体" w:eastAsia="宋体" w:cs="宋体"/>
          <w:color w:val="000000"/>
          <w:szCs w:val="21"/>
          <w:lang w:val="en-US" w:eastAsia="zh-CN"/>
        </w:rPr>
        <w:t>用的卫生杀虫剂和杀鼠剂应</w:t>
      </w:r>
      <w:r>
        <w:rPr>
          <w:rFonts w:hint="eastAsia" w:ascii="宋体" w:hAnsi="宋体" w:eastAsia="宋体" w:cs="宋体"/>
          <w:color w:val="000000"/>
          <w:szCs w:val="21"/>
        </w:rPr>
        <w:t>具有农药登记证、农药生产许可证</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符合</w:t>
      </w:r>
      <w:r>
        <w:rPr>
          <w:rFonts w:hint="eastAsia" w:ascii="宋体" w:hAnsi="宋体" w:eastAsia="宋体" w:cs="宋体"/>
          <w:color w:val="000000"/>
          <w:szCs w:val="21"/>
        </w:rPr>
        <w:t>产品质量标准</w:t>
      </w:r>
      <w:r>
        <w:rPr>
          <w:rFonts w:hint="eastAsia" w:ascii="宋体" w:hAnsi="宋体" w:eastAsia="宋体" w:cs="宋体"/>
          <w:color w:val="000000"/>
          <w:szCs w:val="21"/>
          <w:lang w:eastAsia="zh-CN"/>
        </w:rPr>
        <w:t>，</w:t>
      </w:r>
      <w:r>
        <w:rPr>
          <w:rFonts w:hint="eastAsia" w:ascii="宋体" w:hAnsi="宋体" w:eastAsia="宋体" w:cs="宋体"/>
          <w:color w:val="000000"/>
          <w:szCs w:val="21"/>
        </w:rPr>
        <w:t>标签信息齐全且在有效期内</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应</w:t>
      </w:r>
      <w:r>
        <w:rPr>
          <w:rFonts w:hint="eastAsia" w:ascii="宋体" w:hAnsi="宋体" w:eastAsia="宋体" w:cs="宋体"/>
          <w:color w:val="000000"/>
          <w:szCs w:val="21"/>
        </w:rPr>
        <w:t>选用低毒或微毒</w:t>
      </w:r>
      <w:r>
        <w:rPr>
          <w:rFonts w:hint="eastAsia" w:ascii="宋体" w:hAnsi="宋体" w:eastAsia="宋体" w:cs="宋体"/>
          <w:color w:val="000000"/>
          <w:szCs w:val="21"/>
          <w:lang w:val="en-US" w:eastAsia="zh-CN"/>
        </w:rPr>
        <w:t>产品</w:t>
      </w:r>
      <w:r>
        <w:rPr>
          <w:rFonts w:hint="eastAsia" w:ascii="宋体" w:hAnsi="宋体" w:eastAsia="宋体" w:cs="宋体"/>
          <w:color w:val="000000"/>
          <w:szCs w:val="21"/>
          <w:lang w:eastAsia="zh-CN"/>
        </w:rPr>
        <w:t>，</w:t>
      </w:r>
      <w:r>
        <w:rPr>
          <w:rFonts w:hint="eastAsia" w:ascii="宋体" w:hAnsi="宋体" w:eastAsia="宋体" w:cs="宋体"/>
          <w:color w:val="000000"/>
          <w:szCs w:val="21"/>
        </w:rPr>
        <w:t>严格按说明书使用</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对人和动物安全。</w:t>
      </w:r>
    </w:p>
    <w:p>
      <w:pPr>
        <w:pStyle w:val="66"/>
        <w:numPr>
          <w:ilvl w:val="3"/>
          <w:numId w:val="0"/>
        </w:numPr>
        <w:spacing w:before="156" w:after="156"/>
        <w:ind w:leftChars="0"/>
        <w:rPr>
          <w:rFonts w:hint="eastAsia" w:ascii="宋体" w:hAnsi="宋体" w:eastAsia="宋体" w:cs="宋体"/>
          <w:color w:val="auto"/>
          <w:szCs w:val="21"/>
          <w:lang w:val="en-US" w:eastAsia="zh-CN"/>
        </w:rPr>
      </w:pPr>
      <w:r>
        <w:rPr>
          <w:rFonts w:hint="eastAsia" w:ascii="宋体" w:hAnsi="宋体" w:eastAsia="宋体" w:cs="宋体"/>
          <w:lang w:val="en-US" w:eastAsia="zh-CN"/>
        </w:rPr>
        <w:t xml:space="preserve">6.3.2 </w:t>
      </w:r>
      <w:r>
        <w:rPr>
          <w:rFonts w:hint="eastAsia" w:ascii="宋体" w:hAnsi="宋体" w:eastAsia="宋体" w:cs="宋体"/>
          <w:color w:val="000000"/>
          <w:szCs w:val="21"/>
          <w:lang w:val="en-US" w:eastAsia="zh-CN"/>
        </w:rPr>
        <w:t>食品经营</w:t>
      </w:r>
      <w:r>
        <w:rPr>
          <w:rFonts w:hint="eastAsia" w:ascii="宋体" w:hAnsi="宋体" w:eastAsia="宋体" w:cs="宋体"/>
          <w:color w:val="000000"/>
          <w:szCs w:val="21"/>
        </w:rPr>
        <w:t>场所不得存放</w:t>
      </w:r>
      <w:r>
        <w:rPr>
          <w:rFonts w:hint="eastAsia" w:ascii="宋体" w:hAnsi="宋体" w:eastAsia="宋体" w:cs="宋体"/>
          <w:color w:val="auto"/>
          <w:szCs w:val="21"/>
        </w:rPr>
        <w:t>化学</w:t>
      </w:r>
      <w:r>
        <w:rPr>
          <w:rFonts w:hint="eastAsia" w:ascii="宋体" w:hAnsi="宋体" w:eastAsia="宋体" w:cs="宋体"/>
          <w:color w:val="auto"/>
          <w:szCs w:val="21"/>
          <w:lang w:val="en-US" w:eastAsia="zh-CN"/>
        </w:rPr>
        <w:t>杀</w:t>
      </w:r>
      <w:r>
        <w:rPr>
          <w:rFonts w:hint="eastAsia" w:ascii="宋体" w:hAnsi="宋体" w:eastAsia="宋体" w:cs="宋体"/>
          <w:color w:val="auto"/>
          <w:szCs w:val="21"/>
        </w:rPr>
        <w:t>鼠剂、卫生杀虫剂</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经营期间不得使用化学杀鼠剂、卫生杀虫剂。</w:t>
      </w:r>
    </w:p>
    <w:p>
      <w:pPr>
        <w:pStyle w:val="57"/>
        <w:ind w:left="0" w:leftChars="0" w:firstLine="0" w:firstLineChars="0"/>
        <w:rPr>
          <w:rFonts w:hint="eastAsia" w:ascii="宋体" w:hAnsi="宋体" w:eastAsia="宋体" w:cs="宋体"/>
        </w:rPr>
      </w:pPr>
      <w:r>
        <w:rPr>
          <w:rFonts w:hint="eastAsia" w:hAnsi="宋体" w:cs="宋体"/>
          <w:color w:val="auto"/>
          <w:szCs w:val="21"/>
          <w:lang w:val="en-US" w:eastAsia="zh-CN"/>
        </w:rPr>
        <w:t>6.3.3 经营期间应对室外场地定期开展化学防制活动，</w:t>
      </w:r>
      <w:r>
        <w:rPr>
          <w:rFonts w:hint="eastAsia" w:ascii="宋体" w:hAnsi="宋体" w:eastAsia="宋体" w:cs="宋体"/>
          <w:color w:val="auto"/>
        </w:rPr>
        <w:t>应避开营业时间，选择</w:t>
      </w:r>
      <w:r>
        <w:rPr>
          <w:rFonts w:hint="eastAsia" w:hAnsi="宋体" w:cs="宋体"/>
          <w:color w:val="auto"/>
          <w:lang w:val="en-US" w:eastAsia="zh-CN"/>
        </w:rPr>
        <w:t>4—10</w:t>
      </w:r>
      <w:r>
        <w:rPr>
          <w:rFonts w:hint="eastAsia" w:ascii="宋体" w:hAnsi="宋体" w:eastAsia="宋体" w:cs="宋体"/>
          <w:color w:val="auto"/>
        </w:rPr>
        <w:t>月蚊蝇活动高峰期，对室内外蚊蝇活动相对较多的环境进行空间喷雾或（和）滞留喷洒，对难以清除且无法采用生物防治的水体，中小型水体使用颗粒剂撒布，大中型水体使用灭幼剂喷洒，防止蚊蝇孳生；</w:t>
      </w:r>
      <w:r>
        <w:rPr>
          <w:rFonts w:hint="eastAsia" w:hAnsi="宋体" w:cs="宋体"/>
          <w:color w:val="auto"/>
          <w:lang w:val="en-US" w:eastAsia="zh-CN"/>
        </w:rPr>
        <w:t>选择5—9月蜱虫活动高峰期，对户外场所的草地、绿植进行滞留喷洒（绿</w:t>
      </w:r>
      <w:r>
        <w:rPr>
          <w:rFonts w:hint="eastAsia" w:hAnsi="宋体" w:cs="宋体"/>
          <w:lang w:val="en-US" w:eastAsia="zh-CN"/>
        </w:rPr>
        <w:t>篱喷洒），避免蜱虫孳生；</w:t>
      </w:r>
      <w:r>
        <w:rPr>
          <w:rFonts w:hint="eastAsia" w:ascii="宋体" w:hAnsi="宋体" w:eastAsia="宋体" w:cs="宋体"/>
        </w:rPr>
        <w:t>在</w:t>
      </w:r>
      <w:r>
        <w:rPr>
          <w:rFonts w:hint="eastAsia" w:hAnsi="宋体" w:cs="宋体"/>
          <w:lang w:val="en-US" w:eastAsia="zh-CN"/>
        </w:rPr>
        <w:t>冬春季</w:t>
      </w:r>
      <w:r>
        <w:rPr>
          <w:rFonts w:hint="eastAsia" w:ascii="宋体" w:hAnsi="宋体" w:eastAsia="宋体" w:cs="宋体"/>
        </w:rPr>
        <w:t>选用空间喷雾对地下室、楼道、下水道、空房、孔洞、</w:t>
      </w:r>
      <w:r>
        <w:rPr>
          <w:rFonts w:hint="eastAsia" w:hAnsi="宋体" w:cs="宋体"/>
          <w:lang w:val="en-US" w:eastAsia="zh-CN"/>
        </w:rPr>
        <w:t>圈舍</w:t>
      </w:r>
      <w:r>
        <w:rPr>
          <w:rFonts w:hint="eastAsia" w:ascii="宋体" w:hAnsi="宋体" w:eastAsia="宋体" w:cs="宋体"/>
        </w:rPr>
        <w:t>等环境进一步杀灭越冬蚊</w:t>
      </w:r>
      <w:r>
        <w:rPr>
          <w:rFonts w:hint="eastAsia" w:hAnsi="宋体" w:cs="宋体"/>
          <w:lang w:val="en-US" w:eastAsia="zh-CN"/>
        </w:rPr>
        <w:t>虫</w:t>
      </w:r>
      <w:r>
        <w:rPr>
          <w:rFonts w:hint="eastAsia" w:ascii="宋体" w:hAnsi="宋体" w:eastAsia="宋体" w:cs="宋体"/>
        </w:rPr>
        <w:t>。</w:t>
      </w:r>
    </w:p>
    <w:p>
      <w:pPr>
        <w:pStyle w:val="57"/>
        <w:ind w:left="0" w:leftChars="0" w:firstLine="0" w:firstLineChars="0"/>
      </w:pPr>
      <w:r>
        <w:rPr>
          <w:rFonts w:hint="eastAsia" w:hAnsi="宋体" w:cs="宋体"/>
          <w:lang w:val="en-US" w:eastAsia="zh-CN"/>
        </w:rPr>
        <w:t xml:space="preserve">6.3.4 </w:t>
      </w:r>
      <w:r>
        <w:rPr>
          <w:rFonts w:hint="eastAsia" w:ascii="宋体" w:hAnsi="宋体" w:eastAsia="宋体" w:cs="宋体"/>
        </w:rPr>
        <w:t>可采用安全性高、适口性好的第二代抗凝血杀鼠剂进行灭鼠，在外环境中使用毒饵站应相对隐蔽，且有警示标志，不得暴露投放杀鼠剂，地下管井、下水道可贴壁/悬挂杀鼠蜡块。</w:t>
      </w:r>
    </w:p>
    <w:p>
      <w:pPr>
        <w:pStyle w:val="66"/>
        <w:numPr>
          <w:ilvl w:val="3"/>
          <w:numId w:val="0"/>
        </w:numPr>
        <w:spacing w:before="156" w:after="156"/>
        <w:ind w:leftChars="0"/>
        <w:rPr>
          <w:rFonts w:ascii="宋体" w:hAnsi="宋体" w:eastAsia="宋体" w:cs="宋体"/>
        </w:rPr>
      </w:pPr>
      <w:r>
        <w:rPr>
          <w:rFonts w:hint="eastAsia" w:ascii="宋体" w:hAnsi="宋体" w:eastAsia="宋体" w:cs="宋体"/>
          <w:lang w:val="en-US" w:eastAsia="zh-CN"/>
        </w:rPr>
        <w:t xml:space="preserve">6.3.5 </w:t>
      </w:r>
      <w:r>
        <w:rPr>
          <w:rFonts w:hint="eastAsia" w:ascii="宋体" w:hAnsi="宋体" w:eastAsia="宋体" w:cs="宋体"/>
        </w:rPr>
        <w:t>杀虫灭鼠作业应由具备防制资质的专人实施，并做好杀虫灭鼠记录。</w:t>
      </w:r>
    </w:p>
    <w:p>
      <w:pPr>
        <w:pStyle w:val="66"/>
        <w:numPr>
          <w:ilvl w:val="3"/>
          <w:numId w:val="0"/>
        </w:numPr>
        <w:spacing w:before="156" w:after="156"/>
        <w:ind w:leftChars="0"/>
      </w:pPr>
      <w:r>
        <w:rPr>
          <w:rFonts w:hint="eastAsia" w:ascii="宋体" w:hAnsi="宋体" w:eastAsia="宋体" w:cs="宋体"/>
          <w:lang w:val="en-US" w:eastAsia="zh-CN"/>
        </w:rPr>
        <w:t>6.3.6 应为</w:t>
      </w:r>
      <w:r>
        <w:rPr>
          <w:rFonts w:hint="eastAsia" w:ascii="宋体" w:hAnsi="宋体" w:eastAsia="宋体" w:cs="宋体"/>
        </w:rPr>
        <w:t>户外活动</w:t>
      </w:r>
      <w:r>
        <w:rPr>
          <w:rFonts w:hint="eastAsia" w:ascii="宋体" w:hAnsi="宋体" w:eastAsia="宋体" w:cs="宋体"/>
          <w:lang w:val="en-US" w:eastAsia="zh-CN"/>
        </w:rPr>
        <w:t>人群提供驱避剂等</w:t>
      </w:r>
      <w:r>
        <w:rPr>
          <w:rFonts w:hint="eastAsia" w:ascii="宋体" w:hAnsi="宋体" w:eastAsia="宋体" w:cs="宋体"/>
        </w:rPr>
        <w:t>个人防护</w:t>
      </w:r>
      <w:r>
        <w:rPr>
          <w:rFonts w:hint="eastAsia" w:ascii="宋体" w:hAnsi="宋体" w:eastAsia="宋体" w:cs="宋体"/>
          <w:lang w:val="en-US" w:eastAsia="zh-CN"/>
        </w:rPr>
        <w:t>用品</w:t>
      </w:r>
      <w:r>
        <w:rPr>
          <w:rFonts w:hint="eastAsia" w:ascii="宋体" w:hAnsi="宋体" w:eastAsia="宋体" w:cs="宋体"/>
        </w:rPr>
        <w:t>，以防蚊虫和蜱类的侵害。</w:t>
      </w:r>
    </w:p>
    <w:p>
      <w:pPr>
        <w:pStyle w:val="105"/>
        <w:numPr>
          <w:ilvl w:val="0"/>
          <w:numId w:val="0"/>
        </w:numPr>
        <w:spacing w:before="312" w:after="312"/>
      </w:pPr>
      <w:bookmarkStart w:id="56" w:name="_Toc9789"/>
      <w:r>
        <w:rPr>
          <w:rFonts w:hint="eastAsia"/>
        </w:rPr>
        <w:t>7   控制</w:t>
      </w:r>
      <w:bookmarkEnd w:id="56"/>
      <w:r>
        <w:rPr>
          <w:rFonts w:hint="eastAsia"/>
        </w:rPr>
        <w:t>指标</w:t>
      </w:r>
      <w:bookmarkStart w:id="64" w:name="_GoBack"/>
      <w:bookmarkEnd w:id="64"/>
    </w:p>
    <w:p>
      <w:pPr>
        <w:pStyle w:val="106"/>
        <w:numPr>
          <w:ilvl w:val="2"/>
          <w:numId w:val="0"/>
        </w:numPr>
        <w:spacing w:before="156" w:after="156"/>
        <w:ind w:leftChars="0"/>
      </w:pPr>
      <w:bookmarkStart w:id="57" w:name="_Toc13838"/>
      <w:r>
        <w:rPr>
          <w:rFonts w:hint="eastAsia"/>
          <w:lang w:val="en-US" w:eastAsia="zh-CN"/>
        </w:rPr>
        <w:t xml:space="preserve">7.1 </w:t>
      </w:r>
      <w:r>
        <w:rPr>
          <w:rFonts w:hint="eastAsia"/>
        </w:rPr>
        <w:t>鼠类</w:t>
      </w:r>
      <w:bookmarkEnd w:id="57"/>
    </w:p>
    <w:p>
      <w:pPr>
        <w:pStyle w:val="66"/>
        <w:numPr>
          <w:ilvl w:val="0"/>
          <w:numId w:val="0"/>
        </w:numPr>
        <w:spacing w:before="156" w:after="156"/>
        <w:rPr>
          <w:rFonts w:hint="default" w:ascii="宋体" w:hAnsi="宋体" w:eastAsia="宋体" w:cs="宋体"/>
          <w:lang w:val="en-US"/>
        </w:rPr>
      </w:pPr>
      <w:bookmarkStart w:id="58" w:name="_Toc4671"/>
      <w:r>
        <w:rPr>
          <w:rFonts w:hint="eastAsia" w:ascii="宋体" w:hAnsi="宋体" w:eastAsia="宋体" w:cs="宋体"/>
        </w:rPr>
        <w:t xml:space="preserve">7.1.1 </w:t>
      </w:r>
      <w:r>
        <w:rPr>
          <w:rFonts w:hint="eastAsia" w:ascii="宋体" w:hAnsi="宋体" w:eastAsia="宋体" w:cs="宋体"/>
          <w:lang w:val="en-US" w:eastAsia="zh-CN"/>
        </w:rPr>
        <w:t>食品经营场所不得有鼠迹，防鼠设施全部合格。</w:t>
      </w:r>
    </w:p>
    <w:p>
      <w:pPr>
        <w:pStyle w:val="66"/>
        <w:numPr>
          <w:ilvl w:val="0"/>
          <w:numId w:val="0"/>
        </w:numPr>
        <w:spacing w:before="156" w:after="156"/>
        <w:rPr>
          <w:rFonts w:hint="eastAsia" w:ascii="宋体" w:hAnsi="宋体" w:eastAsia="宋体" w:cs="宋体"/>
          <w:lang w:val="en-US" w:eastAsia="zh-CN"/>
        </w:rPr>
      </w:pPr>
      <w:r>
        <w:rPr>
          <w:rFonts w:hint="eastAsia" w:ascii="宋体" w:hAnsi="宋体" w:eastAsia="宋体" w:cs="宋体"/>
          <w:lang w:val="en-US" w:eastAsia="zh-CN"/>
        </w:rPr>
        <w:t>7.1.2 房间数10间以下的单位防鼠设施全部合格,10间以上的单位防鼠设施不合格房间数不超过1间。</w:t>
      </w:r>
    </w:p>
    <w:p>
      <w:pPr>
        <w:pStyle w:val="66"/>
        <w:numPr>
          <w:ilvl w:val="0"/>
          <w:numId w:val="0"/>
        </w:numPr>
        <w:spacing w:before="156" w:after="156"/>
        <w:rPr>
          <w:rFonts w:hint="eastAsia" w:ascii="宋体" w:hAnsi="宋体" w:eastAsia="宋体" w:cs="宋体"/>
          <w:lang w:val="en-US" w:eastAsia="zh-CN"/>
        </w:rPr>
      </w:pPr>
      <w:r>
        <w:rPr>
          <w:rFonts w:hint="eastAsia" w:ascii="宋体" w:hAnsi="宋体" w:eastAsia="宋体" w:cs="宋体"/>
        </w:rPr>
        <w:t>7.1.</w:t>
      </w:r>
      <w:r>
        <w:rPr>
          <w:rFonts w:hint="eastAsia" w:ascii="宋体" w:hAnsi="宋体" w:eastAsia="宋体" w:cs="宋体"/>
          <w:lang w:val="en-US" w:eastAsia="zh-CN"/>
        </w:rPr>
        <w:t>3</w:t>
      </w:r>
      <w:r>
        <w:rPr>
          <w:rFonts w:hint="eastAsia" w:ascii="宋体" w:hAnsi="宋体" w:eastAsia="宋体" w:cs="宋体"/>
        </w:rPr>
        <w:t xml:space="preserve"> </w:t>
      </w:r>
      <w:r>
        <w:rPr>
          <w:rFonts w:hint="eastAsia" w:ascii="宋体" w:hAnsi="宋体" w:eastAsia="宋体" w:cs="宋体"/>
          <w:lang w:val="en-US" w:eastAsia="zh-CN"/>
        </w:rPr>
        <w:t>房间数20间以下的单位防鼠设施完全合格,20间以上的单位防鼠设施不合格房间数不超过1间。</w:t>
      </w:r>
    </w:p>
    <w:p>
      <w:pPr>
        <w:pStyle w:val="66"/>
        <w:numPr>
          <w:ilvl w:val="0"/>
          <w:numId w:val="0"/>
        </w:numPr>
        <w:spacing w:before="156" w:after="156"/>
        <w:rPr>
          <w:rFonts w:hint="default" w:ascii="宋体" w:hAnsi="宋体" w:eastAsia="黑体" w:cs="宋体"/>
          <w:lang w:val="en-US" w:eastAsia="zh-CN"/>
        </w:rPr>
      </w:pPr>
      <w:r>
        <w:rPr>
          <w:rFonts w:hint="eastAsia" w:ascii="宋体" w:hAnsi="宋体" w:eastAsia="宋体" w:cs="宋体"/>
        </w:rPr>
        <w:t xml:space="preserve">7.1.3 </w:t>
      </w:r>
      <w:r>
        <w:rPr>
          <w:rFonts w:hint="eastAsia" w:ascii="宋体" w:hAnsi="宋体" w:eastAsia="宋体" w:cs="宋体"/>
          <w:highlight w:val="none"/>
          <w:lang w:val="en-US" w:eastAsia="zh-CN"/>
        </w:rPr>
        <w:t>外环</w:t>
      </w:r>
      <w:r>
        <w:rPr>
          <w:rFonts w:hint="eastAsia" w:ascii="宋体" w:hAnsi="宋体" w:eastAsia="宋体" w:cs="宋体"/>
          <w:strike w:val="0"/>
          <w:dstrike w:val="0"/>
          <w:highlight w:val="none"/>
          <w:lang w:val="en-US" w:eastAsia="zh-CN"/>
        </w:rPr>
        <w:t>境不得有鼠洞、死鼠、活鼠等鼠迹。</w:t>
      </w:r>
    </w:p>
    <w:p>
      <w:pPr>
        <w:pStyle w:val="106"/>
        <w:numPr>
          <w:ilvl w:val="2"/>
          <w:numId w:val="0"/>
        </w:numPr>
        <w:spacing w:before="156" w:after="156"/>
        <w:ind w:leftChars="0"/>
      </w:pPr>
      <w:r>
        <w:rPr>
          <w:rFonts w:hint="eastAsia"/>
          <w:lang w:val="en-US" w:eastAsia="zh-CN"/>
        </w:rPr>
        <w:t xml:space="preserve">7.2 </w:t>
      </w:r>
      <w:r>
        <w:rPr>
          <w:rFonts w:hint="eastAsia"/>
        </w:rPr>
        <w:t>蚊虫</w:t>
      </w:r>
      <w:bookmarkEnd w:id="58"/>
    </w:p>
    <w:p>
      <w:pPr>
        <w:pStyle w:val="66"/>
        <w:numPr>
          <w:ilvl w:val="0"/>
          <w:numId w:val="0"/>
        </w:numPr>
        <w:spacing w:before="156" w:after="156"/>
        <w:rPr>
          <w:rFonts w:ascii="宋体" w:hAnsi="宋体" w:eastAsia="宋体" w:cs="宋体"/>
          <w:highlight w:val="none"/>
        </w:rPr>
      </w:pPr>
      <w:bookmarkStart w:id="59" w:name="_Toc17967"/>
      <w:r>
        <w:rPr>
          <w:rFonts w:hint="eastAsia" w:ascii="宋体" w:hAnsi="宋体" w:eastAsia="宋体" w:cs="宋体"/>
        </w:rPr>
        <w:t>7.2.1 室内外的不同水体，</w:t>
      </w:r>
      <w:r>
        <w:rPr>
          <w:rFonts w:hint="eastAsia" w:ascii="宋体" w:hAnsi="宋体" w:eastAsia="宋体" w:cs="宋体"/>
          <w:highlight w:val="none"/>
        </w:rPr>
        <w:t>不得检出蚊幼或蚊蛹。</w:t>
      </w:r>
    </w:p>
    <w:p>
      <w:pPr>
        <w:pStyle w:val="66"/>
        <w:numPr>
          <w:ilvl w:val="0"/>
          <w:numId w:val="0"/>
        </w:numPr>
        <w:spacing w:before="156" w:after="156"/>
        <w:rPr>
          <w:rFonts w:hint="eastAsia" w:ascii="宋体" w:hAnsi="宋体" w:eastAsia="宋体" w:cs="宋体"/>
          <w:strike w:val="0"/>
          <w:dstrike w:val="0"/>
          <w:lang w:val="en-US" w:eastAsia="zh-CN"/>
        </w:rPr>
      </w:pPr>
      <w:r>
        <w:rPr>
          <w:rFonts w:hint="eastAsia" w:ascii="宋体" w:hAnsi="宋体" w:eastAsia="宋体" w:cs="宋体"/>
          <w:strike w:val="0"/>
          <w:dstrike w:val="0"/>
          <w:lang w:val="en-US" w:eastAsia="zh-CN"/>
        </w:rPr>
        <w:t>7.2.2 外环境蚊虫停落指数不高于0.5。</w:t>
      </w:r>
    </w:p>
    <w:p>
      <w:pPr>
        <w:pStyle w:val="106"/>
        <w:numPr>
          <w:ilvl w:val="2"/>
          <w:numId w:val="0"/>
        </w:numPr>
        <w:spacing w:before="156" w:after="156"/>
        <w:ind w:leftChars="0"/>
      </w:pPr>
      <w:r>
        <w:rPr>
          <w:rFonts w:hint="eastAsia"/>
          <w:lang w:val="en-US" w:eastAsia="zh-CN"/>
        </w:rPr>
        <w:t xml:space="preserve">7.3 </w:t>
      </w:r>
      <w:r>
        <w:rPr>
          <w:rFonts w:hint="eastAsia"/>
        </w:rPr>
        <w:t>蝇类</w:t>
      </w:r>
      <w:bookmarkEnd w:id="59"/>
    </w:p>
    <w:p>
      <w:pPr>
        <w:pStyle w:val="66"/>
        <w:numPr>
          <w:ilvl w:val="0"/>
          <w:numId w:val="0"/>
        </w:numPr>
        <w:spacing w:before="156" w:after="156"/>
        <w:rPr>
          <w:rFonts w:ascii="宋体" w:hAnsi="宋体" w:eastAsia="宋体" w:cs="宋体"/>
        </w:rPr>
      </w:pPr>
      <w:bookmarkStart w:id="60" w:name="_Toc20099"/>
      <w:r>
        <w:rPr>
          <w:rFonts w:hint="eastAsia" w:ascii="宋体" w:hAnsi="宋体" w:eastAsia="宋体" w:cs="宋体"/>
        </w:rPr>
        <w:t xml:space="preserve">7.3.1 </w:t>
      </w:r>
      <w:r>
        <w:rPr>
          <w:rFonts w:hint="eastAsia" w:ascii="宋体" w:hAnsi="宋体" w:eastAsia="宋体" w:cs="宋体"/>
          <w:lang w:val="en-US" w:eastAsia="zh-CN"/>
        </w:rPr>
        <w:t>食品经营</w:t>
      </w:r>
      <w:r>
        <w:rPr>
          <w:rFonts w:hint="eastAsia" w:ascii="宋体" w:hAnsi="宋体" w:eastAsia="宋体" w:cs="宋体"/>
        </w:rPr>
        <w:t>场所不得有蝇；室内外不得</w:t>
      </w:r>
      <w:r>
        <w:rPr>
          <w:rFonts w:hint="eastAsia" w:ascii="宋体" w:hAnsi="宋体" w:eastAsia="宋体" w:cs="宋体"/>
          <w:lang w:val="en-US" w:eastAsia="zh-CN"/>
        </w:rPr>
        <w:t>有</w:t>
      </w:r>
      <w:r>
        <w:rPr>
          <w:rFonts w:hint="eastAsia" w:ascii="宋体" w:hAnsi="宋体" w:eastAsia="宋体" w:cs="宋体"/>
        </w:rPr>
        <w:t>蝇类孳生地。</w:t>
      </w:r>
    </w:p>
    <w:p>
      <w:pPr>
        <w:pStyle w:val="66"/>
        <w:numPr>
          <w:ilvl w:val="0"/>
          <w:numId w:val="0"/>
        </w:numPr>
        <w:spacing w:before="156" w:after="156"/>
        <w:rPr>
          <w:rFonts w:hint="eastAsia" w:ascii="宋体" w:hAnsi="宋体" w:eastAsia="宋体" w:cs="宋体"/>
          <w:lang w:eastAsia="zh-CN"/>
        </w:rPr>
      </w:pPr>
      <w:r>
        <w:rPr>
          <w:rFonts w:hint="eastAsia" w:ascii="宋体" w:hAnsi="宋体" w:eastAsia="宋体" w:cs="宋体"/>
        </w:rPr>
        <w:t xml:space="preserve">7.3.2 </w:t>
      </w:r>
      <w:r>
        <w:rPr>
          <w:rFonts w:hint="eastAsia" w:ascii="宋体" w:hAnsi="宋体" w:eastAsia="宋体" w:cs="宋体"/>
          <w:lang w:val="en-US" w:eastAsia="zh-CN"/>
        </w:rPr>
        <w:t>房间数</w:t>
      </w:r>
      <w:r>
        <w:rPr>
          <w:rFonts w:hint="eastAsia" w:ascii="宋体" w:hAnsi="宋体" w:eastAsia="宋体" w:cs="宋体"/>
        </w:rPr>
        <w:t>10间以下的单位有蝇房间数为0,11</w:t>
      </w:r>
      <w:r>
        <w:rPr>
          <w:rFonts w:hint="eastAsia" w:ascii="宋体" w:hAnsi="宋体" w:eastAsia="宋体" w:cs="宋体"/>
          <w:lang w:eastAsia="zh-CN"/>
        </w:rPr>
        <w:t>—</w:t>
      </w:r>
      <w:r>
        <w:rPr>
          <w:rFonts w:hint="eastAsia" w:ascii="宋体" w:hAnsi="宋体" w:eastAsia="宋体" w:cs="宋体"/>
        </w:rPr>
        <w:t>30 间的单位有蝇房间数不超过1间,31</w:t>
      </w:r>
      <w:r>
        <w:rPr>
          <w:rFonts w:hint="eastAsia" w:ascii="宋体" w:hAnsi="宋体" w:eastAsia="宋体" w:cs="宋体"/>
          <w:lang w:eastAsia="zh-CN"/>
        </w:rPr>
        <w:t>—</w:t>
      </w:r>
      <w:r>
        <w:rPr>
          <w:rFonts w:hint="eastAsia" w:ascii="宋体" w:hAnsi="宋体" w:eastAsia="宋体" w:cs="宋体"/>
        </w:rPr>
        <w:t>60 间的单位有蝇房间数不超过3间,61</w:t>
      </w:r>
      <w:r>
        <w:rPr>
          <w:rFonts w:hint="eastAsia" w:ascii="宋体" w:hAnsi="宋体" w:eastAsia="宋体" w:cs="宋体"/>
          <w:lang w:eastAsia="zh-CN"/>
        </w:rPr>
        <w:t>—</w:t>
      </w:r>
      <w:r>
        <w:rPr>
          <w:rFonts w:hint="eastAsia" w:ascii="宋体" w:hAnsi="宋体" w:eastAsia="宋体" w:cs="宋体"/>
        </w:rPr>
        <w:t>100 间单位有蝇房间数不超过6间，阳性间蝇密度</w:t>
      </w:r>
      <w:r>
        <w:rPr>
          <w:rFonts w:hint="eastAsia" w:ascii="宋体" w:hAnsi="宋体" w:eastAsia="宋体" w:cs="宋体"/>
          <w:lang w:val="en-US" w:eastAsia="zh-CN"/>
        </w:rPr>
        <w:t>不超过</w:t>
      </w:r>
      <w:r>
        <w:rPr>
          <w:rFonts w:hint="eastAsia" w:ascii="宋体" w:hAnsi="宋体" w:eastAsia="宋体" w:cs="宋体"/>
        </w:rPr>
        <w:t>3只/间</w:t>
      </w:r>
      <w:r>
        <w:rPr>
          <w:rFonts w:hint="eastAsia" w:ascii="宋体" w:hAnsi="宋体" w:eastAsia="宋体" w:cs="宋体"/>
          <w:lang w:eastAsia="zh-CN"/>
        </w:rPr>
        <w:t>。</w:t>
      </w:r>
    </w:p>
    <w:p>
      <w:pPr>
        <w:pStyle w:val="66"/>
        <w:numPr>
          <w:ilvl w:val="0"/>
          <w:numId w:val="0"/>
        </w:numPr>
        <w:spacing w:before="156" w:after="156"/>
        <w:rPr>
          <w:rFonts w:hint="eastAsia" w:ascii="宋体" w:hAnsi="宋体" w:eastAsia="宋体" w:cs="宋体"/>
        </w:rPr>
      </w:pPr>
      <w:r>
        <w:rPr>
          <w:rFonts w:hint="eastAsia" w:ascii="宋体" w:hAnsi="宋体" w:eastAsia="宋体" w:cs="宋体"/>
        </w:rPr>
        <w:t>7.3.3  防蝇设施全部合格。</w:t>
      </w:r>
    </w:p>
    <w:p>
      <w:pPr>
        <w:pStyle w:val="106"/>
        <w:numPr>
          <w:ilvl w:val="2"/>
          <w:numId w:val="0"/>
        </w:numPr>
        <w:spacing w:before="156" w:after="156"/>
        <w:ind w:leftChars="0"/>
      </w:pPr>
      <w:r>
        <w:rPr>
          <w:rFonts w:hint="eastAsia"/>
          <w:lang w:val="en-US" w:eastAsia="zh-CN"/>
        </w:rPr>
        <w:t xml:space="preserve">7.4 </w:t>
      </w:r>
      <w:r>
        <w:rPr>
          <w:rFonts w:hint="eastAsia"/>
        </w:rPr>
        <w:t>蜚蠊</w:t>
      </w:r>
      <w:bookmarkEnd w:id="60"/>
    </w:p>
    <w:p>
      <w:pPr>
        <w:pStyle w:val="66"/>
        <w:numPr>
          <w:ilvl w:val="0"/>
          <w:numId w:val="0"/>
        </w:numPr>
        <w:spacing w:before="156" w:after="156"/>
        <w:rPr>
          <w:rFonts w:hint="eastAsia" w:ascii="宋体" w:hAnsi="宋体" w:eastAsia="宋体" w:cs="宋体"/>
        </w:rPr>
      </w:pPr>
      <w:bookmarkStart w:id="61" w:name="_Toc4105"/>
      <w:r>
        <w:rPr>
          <w:rFonts w:hint="eastAsia" w:ascii="宋体" w:hAnsi="宋体" w:eastAsia="宋体" w:cs="宋体"/>
          <w:lang w:val="en-US" w:eastAsia="zh-CN"/>
        </w:rPr>
        <w:t>7.4.1 食品经营场所</w:t>
      </w:r>
      <w:r>
        <w:rPr>
          <w:rFonts w:hint="eastAsia" w:ascii="宋体" w:hAnsi="宋体" w:eastAsia="宋体" w:cs="宋体"/>
        </w:rPr>
        <w:t>不得有成若虫、活卵鞘、蟑迹。</w:t>
      </w:r>
    </w:p>
    <w:p>
      <w:pPr>
        <w:pStyle w:val="66"/>
        <w:numPr>
          <w:ilvl w:val="0"/>
          <w:numId w:val="0"/>
        </w:numPr>
        <w:spacing w:before="156" w:after="156"/>
        <w:rPr>
          <w:rFonts w:hint="eastAsia" w:ascii="宋体" w:hAnsi="宋体" w:eastAsia="宋体" w:cs="宋体"/>
          <w:lang w:val="en-US" w:eastAsia="zh-CN"/>
        </w:rPr>
      </w:pPr>
      <w:r>
        <w:rPr>
          <w:rFonts w:hint="eastAsia" w:ascii="宋体" w:hAnsi="宋体" w:eastAsia="宋体" w:cs="宋体"/>
        </w:rPr>
        <w:t>7.4.2</w:t>
      </w:r>
      <w:r>
        <w:rPr>
          <w:rFonts w:hint="eastAsia" w:ascii="宋体" w:hAnsi="宋体" w:eastAsia="宋体" w:cs="宋体"/>
          <w:lang w:val="en-US" w:eastAsia="zh-CN"/>
        </w:rPr>
        <w:t xml:space="preserve"> 房间数60间以下的单位侵害房间不超过2间,60间以上的单位侵害房间不超过3间。</w:t>
      </w:r>
    </w:p>
    <w:p>
      <w:pPr>
        <w:pStyle w:val="66"/>
        <w:numPr>
          <w:ilvl w:val="0"/>
          <w:numId w:val="0"/>
        </w:numPr>
        <w:spacing w:before="156" w:after="156"/>
        <w:rPr>
          <w:rFonts w:hint="eastAsia" w:ascii="宋体" w:hAnsi="宋体" w:eastAsia="宋体" w:cs="宋体"/>
          <w:lang w:val="en-US" w:eastAsia="zh-CN"/>
        </w:rPr>
      </w:pPr>
      <w:r>
        <w:rPr>
          <w:rFonts w:hint="eastAsia" w:ascii="宋体" w:hAnsi="宋体" w:eastAsia="宋体" w:cs="宋体"/>
          <w:lang w:val="en-US" w:eastAsia="zh-CN"/>
        </w:rPr>
        <w:t>7.4.3 房间数60间以下的单位卵鞘查获房间不超过2间,60间以上的单位卵鞘查获房间不超过3间。</w:t>
      </w:r>
    </w:p>
    <w:p>
      <w:pPr>
        <w:pStyle w:val="66"/>
        <w:numPr>
          <w:ilvl w:val="0"/>
          <w:numId w:val="0"/>
        </w:numPr>
        <w:spacing w:before="156" w:after="156"/>
        <w:rPr>
          <w:rFonts w:hint="default" w:ascii="宋体" w:hAnsi="宋体" w:eastAsia="宋体" w:cs="宋体"/>
          <w:lang w:val="en-US" w:eastAsia="zh-CN"/>
        </w:rPr>
      </w:pPr>
      <w:r>
        <w:rPr>
          <w:rFonts w:hint="eastAsia" w:ascii="宋体" w:hAnsi="宋体" w:eastAsia="宋体" w:cs="宋体"/>
          <w:lang w:val="en-US" w:eastAsia="zh-CN"/>
        </w:rPr>
        <w:t>7.4.4 房间数60间以下的单位蟑迹查获房间不超过3间,60间以上的单位蟑迹查获房间不超过5 间。</w:t>
      </w:r>
    </w:p>
    <w:p>
      <w:pPr>
        <w:pStyle w:val="106"/>
        <w:numPr>
          <w:ilvl w:val="2"/>
          <w:numId w:val="0"/>
        </w:numPr>
        <w:spacing w:before="156" w:after="156"/>
        <w:ind w:leftChars="0"/>
      </w:pPr>
      <w:r>
        <w:rPr>
          <w:rFonts w:hint="eastAsia"/>
          <w:lang w:val="en-US" w:eastAsia="zh-CN"/>
        </w:rPr>
        <w:t xml:space="preserve">7.5 </w:t>
      </w:r>
      <w:r>
        <w:rPr>
          <w:rFonts w:hint="eastAsia"/>
        </w:rPr>
        <w:t>蜱类</w:t>
      </w:r>
      <w:bookmarkEnd w:id="61"/>
    </w:p>
    <w:p>
      <w:pPr>
        <w:pStyle w:val="66"/>
        <w:numPr>
          <w:ilvl w:val="3"/>
          <w:numId w:val="0"/>
        </w:numPr>
        <w:spacing w:before="156" w:after="156"/>
        <w:ind w:firstLine="420" w:firstLineChars="200"/>
        <w:rPr>
          <w:rFonts w:ascii="宋体" w:hAnsi="宋体" w:eastAsia="宋体" w:cs="宋体"/>
        </w:rPr>
      </w:pPr>
      <w:r>
        <w:rPr>
          <w:rFonts w:hint="eastAsia" w:ascii="宋体" w:hAnsi="宋体" w:eastAsia="宋体" w:cs="宋体"/>
        </w:rPr>
        <w:t>禽畜、宠物等动物体表不得有寄生蜱检出。健身步道、农场农田、森林草地等外环境累计检查1000m路径，不得有游离蜱检出。</w:t>
      </w:r>
    </w:p>
    <w:p>
      <w:pPr>
        <w:pStyle w:val="106"/>
        <w:numPr>
          <w:ilvl w:val="2"/>
          <w:numId w:val="0"/>
        </w:numPr>
        <w:spacing w:before="156" w:after="156"/>
        <w:ind w:leftChars="0"/>
        <w:rPr>
          <w:rFonts w:hint="eastAsia" w:eastAsia="黑体"/>
          <w:lang w:val="en-US" w:eastAsia="zh-CN"/>
        </w:rPr>
      </w:pPr>
      <w:r>
        <w:rPr>
          <w:rFonts w:hint="eastAsia"/>
          <w:lang w:val="en-US" w:eastAsia="zh-CN"/>
        </w:rPr>
        <w:t xml:space="preserve">7.6 </w:t>
      </w:r>
      <w:r>
        <w:rPr>
          <w:rFonts w:hint="eastAsia"/>
        </w:rPr>
        <w:t>其它</w:t>
      </w:r>
    </w:p>
    <w:p>
      <w:pPr>
        <w:pStyle w:val="66"/>
        <w:numPr>
          <w:ilvl w:val="3"/>
          <w:numId w:val="0"/>
        </w:numPr>
        <w:spacing w:before="156" w:after="156"/>
        <w:ind w:firstLine="420" w:firstLineChars="200"/>
        <w:rPr>
          <w:rFonts w:ascii="宋体" w:hAnsi="宋体" w:eastAsia="宋体" w:cs="宋体"/>
        </w:rPr>
      </w:pPr>
      <w:r>
        <w:rPr>
          <w:rFonts w:hint="eastAsia" w:ascii="宋体" w:hAnsi="宋体" w:eastAsia="宋体" w:cs="宋体"/>
        </w:rPr>
        <w:t>室内不得检出跳蚤</w:t>
      </w:r>
      <w:r>
        <w:rPr>
          <w:rFonts w:hint="eastAsia" w:ascii="宋体" w:hAnsi="宋体" w:eastAsia="宋体" w:cs="宋体"/>
          <w:lang w:val="en-US" w:eastAsia="zh-CN"/>
        </w:rPr>
        <w:t>、虱子、</w:t>
      </w:r>
      <w:r>
        <w:rPr>
          <w:rFonts w:hint="eastAsia" w:ascii="宋体" w:hAnsi="宋体" w:eastAsia="宋体" w:cs="宋体"/>
        </w:rPr>
        <w:t>臭虫。</w:t>
      </w:r>
    </w:p>
    <w:p>
      <w:pPr>
        <w:pStyle w:val="105"/>
        <w:numPr>
          <w:ilvl w:val="0"/>
          <w:numId w:val="0"/>
        </w:numPr>
        <w:spacing w:before="312" w:after="312"/>
      </w:pPr>
      <w:r>
        <w:rPr>
          <w:rFonts w:hint="eastAsia"/>
        </w:rPr>
        <w:t>8   现场评价</w:t>
      </w:r>
    </w:p>
    <w:p>
      <w:pPr>
        <w:pStyle w:val="57"/>
        <w:ind w:firstLine="420"/>
        <w:rPr>
          <w:rFonts w:hint="eastAsia" w:eastAsia="宋体"/>
          <w:lang w:eastAsia="zh-CN"/>
        </w:rPr>
      </w:pPr>
      <w:r>
        <w:rPr>
          <w:rFonts w:hint="eastAsia"/>
        </w:rPr>
        <w:t>8.1 鼠类、蝇类、蜚蠊</w:t>
      </w:r>
      <w:r>
        <w:rPr>
          <w:rFonts w:hint="eastAsia"/>
          <w:lang w:eastAsia="zh-CN"/>
        </w:rPr>
        <w:t>、</w:t>
      </w:r>
      <w:r>
        <w:rPr>
          <w:rFonts w:hint="eastAsia"/>
        </w:rPr>
        <w:t>臭虫控制对象在现场评价时采用目测法，操作方法见：</w:t>
      </w:r>
      <w:r>
        <w:rPr>
          <w:rFonts w:hint="eastAsia" w:ascii="Times New Roman"/>
          <w:szCs w:val="21"/>
        </w:rPr>
        <w:t>GB/T 23798、GB/T 23796、GB/T 23795、</w:t>
      </w:r>
      <w:r>
        <w:rPr>
          <w:rFonts w:hint="eastAsia" w:ascii="Times New Roman"/>
        </w:rPr>
        <w:t>WS/T 692</w:t>
      </w:r>
      <w:r>
        <w:rPr>
          <w:rFonts w:hint="eastAsia"/>
        </w:rPr>
        <w:t>，厩螫蝇的检视</w:t>
      </w:r>
      <w:r>
        <w:rPr>
          <w:rFonts w:hint="eastAsia"/>
          <w:lang w:val="en-US" w:eastAsia="zh-CN"/>
        </w:rPr>
        <w:t>采用</w:t>
      </w:r>
      <w:r>
        <w:rPr>
          <w:rFonts w:hint="eastAsia"/>
        </w:rPr>
        <w:t>挥网法</w:t>
      </w:r>
      <w:r>
        <w:rPr>
          <w:rFonts w:hint="eastAsia"/>
          <w:lang w:eastAsia="zh-CN"/>
        </w:rPr>
        <w:t>。</w:t>
      </w:r>
    </w:p>
    <w:p>
      <w:pPr>
        <w:pStyle w:val="57"/>
        <w:ind w:firstLine="420"/>
        <w:rPr>
          <w:rFonts w:hint="eastAsia" w:ascii="Times New Roman" w:eastAsia="宋体"/>
          <w:szCs w:val="21"/>
          <w:lang w:eastAsia="zh-CN"/>
        </w:rPr>
      </w:pPr>
      <w:r>
        <w:rPr>
          <w:rFonts w:hint="eastAsia"/>
        </w:rPr>
        <w:t>8.2 蚊虫幼虫采用路径法、蚊虫成虫采用人诱停落法，操作方法见：</w:t>
      </w:r>
      <w:r>
        <w:rPr>
          <w:rFonts w:hint="eastAsia" w:ascii="Times New Roman"/>
          <w:szCs w:val="21"/>
        </w:rPr>
        <w:t>GB/T 23797</w:t>
      </w:r>
      <w:r>
        <w:rPr>
          <w:rFonts w:hint="eastAsia" w:ascii="Times New Roman"/>
          <w:szCs w:val="21"/>
          <w:lang w:eastAsia="zh-CN"/>
        </w:rPr>
        <w:t>。</w:t>
      </w:r>
    </w:p>
    <w:p>
      <w:pPr>
        <w:pStyle w:val="57"/>
        <w:ind w:firstLine="420"/>
        <w:rPr>
          <w:rFonts w:hint="eastAsia" w:eastAsia="宋体"/>
          <w:lang w:eastAsia="zh-CN"/>
        </w:rPr>
      </w:pPr>
      <w:r>
        <w:rPr>
          <w:rFonts w:hint="eastAsia"/>
        </w:rPr>
        <w:t>8.3 寄生蜱类采用宿主体检蜱法，游离蜱类采用布旗法，操作方法见：</w:t>
      </w:r>
      <w:r>
        <w:rPr>
          <w:rFonts w:hint="eastAsia" w:ascii="Times New Roman"/>
        </w:rPr>
        <w:t>GB/T 36788</w:t>
      </w:r>
      <w:r>
        <w:rPr>
          <w:rFonts w:hint="eastAsia" w:ascii="Times New Roman"/>
          <w:lang w:eastAsia="zh-CN"/>
        </w:rPr>
        <w:t>。</w:t>
      </w:r>
    </w:p>
    <w:p>
      <w:pPr>
        <w:pStyle w:val="57"/>
        <w:ind w:firstLine="420"/>
      </w:pPr>
      <w:r>
        <w:rPr>
          <w:rFonts w:hint="eastAsia"/>
        </w:rPr>
        <w:t>8.4 跳蚤在现场评价时通过观察感知有无侵害检查人员，若收到虫情报告，应立即采取粘捕法进行评价，操作方法见：</w:t>
      </w:r>
      <w:r>
        <w:rPr>
          <w:rFonts w:hint="eastAsia" w:ascii="Times New Roman"/>
        </w:rPr>
        <w:t>WS/T 822</w:t>
      </w:r>
      <w:r>
        <w:rPr>
          <w:rFonts w:hint="eastAsia"/>
        </w:rPr>
        <w:t>。</w:t>
      </w:r>
    </w:p>
    <w:p>
      <w:pPr>
        <w:pStyle w:val="57"/>
        <w:ind w:firstLine="420"/>
      </w:pPr>
      <w:r>
        <w:rPr>
          <w:rFonts w:hint="eastAsia"/>
          <w:highlight w:val="none"/>
        </w:rPr>
        <w:t>8.5 注意事项。现场评</w:t>
      </w:r>
      <w:r>
        <w:rPr>
          <w:rFonts w:hint="eastAsia"/>
        </w:rPr>
        <w:t>价应选择</w:t>
      </w:r>
      <w:r>
        <w:rPr>
          <w:rFonts w:hint="eastAsia"/>
          <w:lang w:val="en-US" w:eastAsia="zh-CN"/>
        </w:rPr>
        <w:t>4</w:t>
      </w:r>
      <w:r>
        <w:rPr>
          <w:rFonts w:hint="eastAsia"/>
        </w:rPr>
        <w:t>-10月病媒生物活动高峰期，评价结果未能达到控制指标时，应立即制定相应的防治实施方案，按照控制方法采取相应防制措施，直至病媒生物密度达到控制指标。</w:t>
      </w:r>
    </w:p>
    <w:bookmarkEnd w:id="54"/>
    <w:p>
      <w:pPr>
        <w:pStyle w:val="57"/>
        <w:ind w:firstLine="0" w:firstLineChars="0"/>
        <w:rPr>
          <w:rFonts w:ascii="Times New Roman"/>
          <w:szCs w:val="21"/>
        </w:rPr>
        <w:sectPr>
          <w:pgSz w:w="11906" w:h="16838"/>
          <w:pgMar w:top="2410" w:right="1134" w:bottom="1134" w:left="1134" w:header="1418" w:footer="1134" w:gutter="284"/>
          <w:cols w:space="425" w:num="1"/>
          <w:formProt w:val="0"/>
          <w:docGrid w:type="lines" w:linePitch="312" w:charSpace="0"/>
        </w:sectPr>
      </w:pPr>
      <w:bookmarkStart w:id="62" w:name="BookMark6"/>
    </w:p>
    <w:bookmarkEnd w:id="62"/>
    <w:p>
      <w:pPr>
        <w:pStyle w:val="64"/>
        <w:spacing w:before="124" w:after="156"/>
      </w:pPr>
      <w:bookmarkStart w:id="63" w:name="_Toc19772"/>
      <w:r>
        <w:rPr>
          <w:rFonts w:ascii="Times New Roman" w:hAnsi="Times New Roman"/>
          <w:spacing w:val="105"/>
        </w:rPr>
        <w:t>参考文</w:t>
      </w:r>
      <w:r>
        <w:rPr>
          <w:rFonts w:ascii="Times New Roman" w:hAnsi="Times New Roman"/>
        </w:rPr>
        <w:t>献</w:t>
      </w:r>
      <w:bookmarkEnd w:id="63"/>
    </w:p>
    <w:p>
      <w:pPr>
        <w:pStyle w:val="57"/>
        <w:numPr>
          <w:ilvl w:val="0"/>
          <w:numId w:val="33"/>
        </w:numPr>
        <w:autoSpaceDE/>
        <w:autoSpaceDN/>
        <w:ind w:firstLineChars="0"/>
        <w:rPr>
          <w:rFonts w:ascii="Times New Roman"/>
        </w:rPr>
      </w:pPr>
      <w:r>
        <w:rPr>
          <w:rFonts w:hint="eastAsia" w:ascii="Times New Roman"/>
        </w:rPr>
        <w:t>WS/T 690-2020</w:t>
      </w:r>
      <w:r>
        <w:rPr>
          <w:rFonts w:hint="eastAsia" w:ascii="Times New Roman"/>
          <w:lang w:val="en-US" w:eastAsia="zh-CN"/>
        </w:rPr>
        <w:t xml:space="preserve"> 病媒生物防制操作规程 餐饮服务场所</w:t>
      </w:r>
    </w:p>
    <w:p>
      <w:pPr>
        <w:pStyle w:val="57"/>
        <w:numPr>
          <w:ilvl w:val="0"/>
          <w:numId w:val="33"/>
        </w:numPr>
        <w:autoSpaceDE/>
        <w:autoSpaceDN/>
        <w:ind w:firstLineChars="0"/>
        <w:rPr>
          <w:rFonts w:ascii="Times New Roman"/>
        </w:rPr>
      </w:pPr>
      <w:r>
        <w:rPr>
          <w:rFonts w:hint="eastAsia" w:ascii="Times New Roman"/>
        </w:rPr>
        <w:t>WS/T 689-2020</w:t>
      </w:r>
      <w:r>
        <w:rPr>
          <w:rFonts w:hint="eastAsia" w:ascii="Times New Roman"/>
          <w:lang w:val="en-US" w:eastAsia="zh-CN"/>
        </w:rPr>
        <w:t xml:space="preserve"> 病媒生物防制操作规程 商场超市</w:t>
      </w:r>
    </w:p>
    <w:p>
      <w:pPr>
        <w:pStyle w:val="57"/>
        <w:numPr>
          <w:ilvl w:val="0"/>
          <w:numId w:val="33"/>
        </w:numPr>
        <w:autoSpaceDE/>
        <w:autoSpaceDN/>
        <w:ind w:firstLineChars="0"/>
        <w:rPr>
          <w:rFonts w:ascii="Times New Roman"/>
        </w:rPr>
      </w:pPr>
      <w:r>
        <w:rPr>
          <w:rFonts w:hint="eastAsia" w:ascii="Times New Roman"/>
        </w:rPr>
        <w:t>WS/T 688-2020</w:t>
      </w:r>
      <w:r>
        <w:rPr>
          <w:rFonts w:hint="eastAsia" w:ascii="Times New Roman"/>
          <w:lang w:val="en-US" w:eastAsia="zh-CN"/>
        </w:rPr>
        <w:t xml:space="preserve"> 病媒生物防制操作规程 宾馆饭店</w:t>
      </w:r>
    </w:p>
    <w:p>
      <w:pPr>
        <w:pStyle w:val="57"/>
        <w:numPr>
          <w:ilvl w:val="0"/>
          <w:numId w:val="33"/>
        </w:numPr>
        <w:autoSpaceDE/>
        <w:autoSpaceDN/>
        <w:ind w:firstLineChars="0"/>
        <w:rPr>
          <w:rFonts w:ascii="Times New Roman"/>
        </w:rPr>
      </w:pPr>
      <w:r>
        <w:rPr>
          <w:rFonts w:hint="eastAsia" w:ascii="Times New Roman"/>
        </w:rPr>
        <w:t>SN/T 5172-2021</w:t>
      </w:r>
      <w:r>
        <w:rPr>
          <w:rFonts w:hint="eastAsia" w:ascii="Times New Roman"/>
          <w:lang w:val="en-US" w:eastAsia="zh-CN"/>
        </w:rPr>
        <w:t xml:space="preserve"> 国境口岸食品生产加工单位病媒生物控制水平</w:t>
      </w:r>
    </w:p>
    <w:p>
      <w:pPr>
        <w:pStyle w:val="57"/>
        <w:numPr>
          <w:ilvl w:val="0"/>
          <w:numId w:val="33"/>
        </w:numPr>
        <w:autoSpaceDE/>
        <w:autoSpaceDN/>
        <w:ind w:firstLineChars="0"/>
      </w:pPr>
      <w:r>
        <w:rPr>
          <w:rFonts w:hint="eastAsia" w:ascii="Times New Roman"/>
        </w:rPr>
        <w:t>国家卫生城镇标准(2021版)指导手册</w:t>
      </w:r>
      <w:r>
        <w:rPr>
          <w:rFonts w:hint="eastAsia" w:ascii="Times New Roman"/>
          <w:lang w:val="en-US" w:eastAsia="zh-CN"/>
        </w:rPr>
        <w:t xml:space="preserve"> 全国爱国卫生运动委员会</w:t>
      </w:r>
    </w:p>
    <w:p>
      <w:pPr>
        <w:pStyle w:val="57"/>
        <w:numPr>
          <w:ilvl w:val="0"/>
          <w:numId w:val="33"/>
        </w:numPr>
        <w:autoSpaceDE/>
        <w:autoSpaceDN/>
        <w:ind w:firstLineChars="0"/>
      </w:pPr>
      <w:r>
        <w:rPr>
          <w:rFonts w:hint="eastAsia"/>
        </w:rPr>
        <w:t>GB/T 31721 病媒生物控制术语与分类</w:t>
      </w:r>
    </w:p>
    <w:p>
      <w:pPr>
        <w:pStyle w:val="57"/>
        <w:numPr>
          <w:ilvl w:val="0"/>
          <w:numId w:val="33"/>
        </w:numPr>
        <w:autoSpaceDE/>
        <w:autoSpaceDN/>
        <w:ind w:firstLineChars="0"/>
      </w:pPr>
      <w:r>
        <w:rPr>
          <w:rFonts w:hint="eastAsia"/>
        </w:rPr>
        <w:t>GB/T 39503-2020 病媒生物综合管理技术规范 学校</w:t>
      </w:r>
    </w:p>
    <w:p>
      <w:pPr>
        <w:pStyle w:val="57"/>
        <w:numPr>
          <w:ilvl w:val="0"/>
          <w:numId w:val="33"/>
        </w:numPr>
        <w:autoSpaceDE/>
        <w:autoSpaceDN/>
        <w:ind w:firstLineChars="0"/>
      </w:pPr>
      <w:r>
        <w:rPr>
          <w:rFonts w:hint="eastAsia"/>
        </w:rPr>
        <w:t>WS/T 690-2020 病媒生物防制操作规程 餐饮服务场所</w:t>
      </w:r>
    </w:p>
    <w:p>
      <w:pPr>
        <w:pStyle w:val="57"/>
        <w:numPr>
          <w:ilvl w:val="0"/>
          <w:numId w:val="33"/>
        </w:numPr>
        <w:autoSpaceDE/>
        <w:autoSpaceDN/>
        <w:ind w:firstLineChars="0"/>
      </w:pPr>
      <w:r>
        <w:rPr>
          <w:rFonts w:hint="eastAsia"/>
        </w:rPr>
        <w:t>WS/T 689-2020 病媒生物防制操作规程 商场超市</w:t>
      </w:r>
    </w:p>
    <w:p>
      <w:pPr>
        <w:pStyle w:val="57"/>
        <w:numPr>
          <w:ilvl w:val="0"/>
          <w:numId w:val="33"/>
        </w:numPr>
        <w:autoSpaceDE/>
        <w:autoSpaceDN/>
        <w:ind w:firstLineChars="0"/>
        <w:rPr>
          <w:rFonts w:hint="eastAsia"/>
        </w:rPr>
      </w:pPr>
      <w:r>
        <w:rPr>
          <w:rFonts w:hint="eastAsia"/>
        </w:rPr>
        <w:t>WS/T 688-2020 病媒生物防制操作规程 宾馆饭店</w:t>
      </w:r>
    </w:p>
    <w:p>
      <w:pPr>
        <w:pStyle w:val="57"/>
        <w:numPr>
          <w:ilvl w:val="0"/>
          <w:numId w:val="33"/>
        </w:numPr>
        <w:autoSpaceDE/>
        <w:autoSpaceDN/>
        <w:ind w:firstLineChars="0"/>
        <w:rPr>
          <w:rFonts w:hint="eastAsia"/>
        </w:rPr>
      </w:pPr>
      <w:r>
        <w:t>GB/T 31714 病媒生物化学防治技术指南 空间喷雾</w:t>
      </w:r>
    </w:p>
    <w:p>
      <w:pPr>
        <w:pStyle w:val="57"/>
        <w:numPr>
          <w:ilvl w:val="0"/>
          <w:numId w:val="33"/>
        </w:numPr>
        <w:autoSpaceDE/>
        <w:autoSpaceDN/>
        <w:ind w:firstLineChars="0"/>
        <w:rPr>
          <w:rFonts w:hint="eastAsia"/>
        </w:rPr>
      </w:pPr>
      <w:r>
        <w:rPr>
          <w:rFonts w:hint="eastAsia"/>
        </w:rPr>
        <w:t>GB/T 31715病媒生物化学防治技术指南  滞留喷洒</w:t>
      </w:r>
    </w:p>
    <w:p>
      <w:pPr>
        <w:pStyle w:val="57"/>
        <w:numPr>
          <w:ilvl w:val="0"/>
          <w:numId w:val="33"/>
        </w:numPr>
        <w:autoSpaceDE/>
        <w:autoSpaceDN/>
        <w:ind w:firstLineChars="0"/>
        <w:rPr>
          <w:rFonts w:hint="eastAsia"/>
        </w:rPr>
      </w:pPr>
      <w:r>
        <w:rPr>
          <w:rFonts w:hint="eastAsia"/>
        </w:rPr>
        <w:t>GB/T 31717 病媒生物综合管理技术规范 环境治理 蚊虫</w:t>
      </w:r>
    </w:p>
    <w:p>
      <w:pPr>
        <w:pStyle w:val="57"/>
        <w:numPr>
          <w:ilvl w:val="0"/>
          <w:numId w:val="33"/>
        </w:numPr>
        <w:autoSpaceDE/>
        <w:autoSpaceDN/>
        <w:ind w:firstLineChars="0"/>
        <w:rPr>
          <w:rFonts w:hint="eastAsia"/>
        </w:rPr>
      </w:pPr>
      <w:r>
        <w:rPr>
          <w:rFonts w:hint="eastAsia"/>
        </w:rPr>
        <w:t>GB/T 31712 病媒生物综合管理技术规范 环境治理 鼠类</w:t>
      </w:r>
    </w:p>
    <w:p>
      <w:pPr>
        <w:pStyle w:val="57"/>
        <w:numPr>
          <w:ilvl w:val="0"/>
          <w:numId w:val="33"/>
        </w:numPr>
        <w:autoSpaceDE/>
        <w:autoSpaceDN/>
        <w:ind w:firstLineChars="0"/>
      </w:pPr>
      <w:r>
        <w:t xml:space="preserve">GB/T 31718 病媒生物综合管理技术规范 化学防治 蝇类 </w:t>
      </w:r>
    </w:p>
    <w:p>
      <w:pPr>
        <w:pStyle w:val="57"/>
        <w:numPr>
          <w:ilvl w:val="0"/>
          <w:numId w:val="33"/>
        </w:numPr>
        <w:autoSpaceDE/>
        <w:autoSpaceDN/>
        <w:ind w:firstLineChars="0"/>
        <w:rPr>
          <w:rFonts w:ascii="Times New Roman"/>
        </w:rPr>
      </w:pPr>
      <w:r>
        <w:t>GB/T 31719 病媒生物综合管理技术规范 化学防治 蜚蠊</w:t>
      </w:r>
    </w:p>
    <w:p>
      <w:pPr>
        <w:pStyle w:val="57"/>
        <w:numPr>
          <w:ilvl w:val="0"/>
          <w:numId w:val="33"/>
        </w:numPr>
        <w:autoSpaceDE/>
        <w:autoSpaceDN/>
        <w:ind w:firstLineChars="0"/>
      </w:pPr>
      <w:r>
        <w:rPr>
          <w:rFonts w:hint="eastAsia" w:ascii="Times New Roman"/>
        </w:rPr>
        <w:t>D</w:t>
      </w:r>
      <w:r>
        <w:rPr>
          <w:rFonts w:ascii="Times New Roman"/>
        </w:rPr>
        <w:t>B</w:t>
      </w:r>
      <w:r>
        <w:rPr>
          <w:rFonts w:hint="eastAsia" w:ascii="Times New Roman"/>
        </w:rPr>
        <w:t>5104/T 82</w:t>
      </w:r>
      <w:r>
        <w:rPr>
          <w:rFonts w:hint="eastAsia" w:hAnsi="宋体"/>
        </w:rPr>
        <w:t>－</w:t>
      </w:r>
      <w:r>
        <w:rPr>
          <w:rFonts w:ascii="Times New Roman"/>
        </w:rPr>
        <w:t>20</w:t>
      </w:r>
      <w:r>
        <w:rPr>
          <w:rFonts w:hint="eastAsia" w:ascii="Times New Roman"/>
        </w:rPr>
        <w:t>23　康养产业项目认定规范</w:t>
      </w:r>
    </w:p>
    <w:p>
      <w:pPr>
        <w:pStyle w:val="57"/>
        <w:numPr>
          <w:ilvl w:val="0"/>
          <w:numId w:val="33"/>
        </w:numPr>
        <w:autoSpaceDE/>
        <w:autoSpaceDN/>
        <w:ind w:firstLineChars="0"/>
      </w:pPr>
      <w:r>
        <w:rPr>
          <w:rFonts w:hint="eastAsia" w:ascii="Times New Roman"/>
          <w:lang w:val="en-US" w:eastAsia="zh-CN"/>
        </w:rPr>
        <w:t>DB/T 3982—2017 媒介生物 硬蜱综合防治技术规范</w:t>
      </w:r>
    </w:p>
    <w:p>
      <w:pPr>
        <w:pStyle w:val="57"/>
        <w:numPr>
          <w:ilvl w:val="0"/>
          <w:numId w:val="33"/>
        </w:numPr>
        <w:autoSpaceDE/>
        <w:autoSpaceDN/>
        <w:ind w:firstLineChars="0"/>
      </w:pPr>
      <w:r>
        <w:rPr>
          <w:rFonts w:hint="eastAsia"/>
        </w:rPr>
        <w:t>WS/T 832</w:t>
      </w:r>
      <w:r>
        <w:rPr>
          <w:rFonts w:hint="eastAsia"/>
          <w:lang w:eastAsia="zh-CN"/>
        </w:rPr>
        <w:t>—</w:t>
      </w:r>
      <w:r>
        <w:rPr>
          <w:rFonts w:hint="eastAsia"/>
        </w:rPr>
        <w:t>2024</w:t>
      </w:r>
      <w:r>
        <w:rPr>
          <w:rFonts w:hint="eastAsia"/>
          <w:lang w:val="en-US" w:eastAsia="zh-CN"/>
        </w:rPr>
        <w:t xml:space="preserve"> 蚊虫化学防治技术标准</w:t>
      </w: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永中仿宋"/>
    <w:panose1 w:val="02010600030101010101"/>
    <w:charset w:val="86"/>
    <w:family w:val="auto"/>
    <w:pitch w:val="default"/>
    <w:sig w:usb0="00000000" w:usb1="00000000" w:usb2="00000016" w:usb3="00000000" w:csb0="0004000F" w:csb1="00000000"/>
  </w:font>
  <w:font w:name="等线 Light">
    <w:altName w:val="永中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DBXX/TXXXX—XXXX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instrText xml:space="preserve"> STYLEREF  标准文件_文件编号  \* MERGEFORMAT </w:instrText>
    </w:r>
    <w:r>
      <w:fldChar w:fldCharType="separate"/>
    </w:r>
    <w:r>
      <w:t>DBXX/TXXXX—XXXX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1EE1463"/>
    <w:multiLevelType w:val="multilevel"/>
    <w:tmpl w:val="11EE146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652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77250C70"/>
    <w:multiLevelType w:val="multilevel"/>
    <w:tmpl w:val="77250C70"/>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3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dit="forms" w:enforcement="1"/>
  <w:defaultTabStop w:val="420"/>
  <w:drawingGridHorizontalSpacing w:val="105"/>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2YjAxOTFhMzQ1YzEzMWY5YWYxMTliY2Y3OTI1ZWYifQ=="/>
  </w:docVars>
  <w:rsids>
    <w:rsidRoot w:val="00DE5B07"/>
    <w:rsid w:val="0000040A"/>
    <w:rsid w:val="00000A94"/>
    <w:rsid w:val="00001972"/>
    <w:rsid w:val="00001D9A"/>
    <w:rsid w:val="00007B3A"/>
    <w:rsid w:val="000107E0"/>
    <w:rsid w:val="00011FDE"/>
    <w:rsid w:val="000125A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972"/>
    <w:rsid w:val="0004249A"/>
    <w:rsid w:val="00043282"/>
    <w:rsid w:val="00044286"/>
    <w:rsid w:val="00047F28"/>
    <w:rsid w:val="000503AA"/>
    <w:rsid w:val="000506A1"/>
    <w:rsid w:val="000515DD"/>
    <w:rsid w:val="0005265A"/>
    <w:rsid w:val="000539DD"/>
    <w:rsid w:val="00053BD3"/>
    <w:rsid w:val="000556ED"/>
    <w:rsid w:val="00055F2A"/>
    <w:rsid w:val="00055FE2"/>
    <w:rsid w:val="0005616F"/>
    <w:rsid w:val="00060C2E"/>
    <w:rsid w:val="00061033"/>
    <w:rsid w:val="000617FA"/>
    <w:rsid w:val="000619E9"/>
    <w:rsid w:val="000622D4"/>
    <w:rsid w:val="0006357D"/>
    <w:rsid w:val="00067F1E"/>
    <w:rsid w:val="00071CC0"/>
    <w:rsid w:val="000737E9"/>
    <w:rsid w:val="00073C8C"/>
    <w:rsid w:val="00077B64"/>
    <w:rsid w:val="00080A1C"/>
    <w:rsid w:val="00082317"/>
    <w:rsid w:val="00083D2C"/>
    <w:rsid w:val="00086AA1"/>
    <w:rsid w:val="00087A77"/>
    <w:rsid w:val="00090CA6"/>
    <w:rsid w:val="00091481"/>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659"/>
    <w:rsid w:val="001852C9"/>
    <w:rsid w:val="00190087"/>
    <w:rsid w:val="001913C4"/>
    <w:rsid w:val="0019348F"/>
    <w:rsid w:val="00193A07"/>
    <w:rsid w:val="00194C95"/>
    <w:rsid w:val="00195C34"/>
    <w:rsid w:val="00196EF5"/>
    <w:rsid w:val="001A0D6A"/>
    <w:rsid w:val="001A1A53"/>
    <w:rsid w:val="001A234A"/>
    <w:rsid w:val="001A4CF3"/>
    <w:rsid w:val="001A7D5C"/>
    <w:rsid w:val="001B06E8"/>
    <w:rsid w:val="001B71D0"/>
    <w:rsid w:val="001B71EE"/>
    <w:rsid w:val="001C04A8"/>
    <w:rsid w:val="001C0C41"/>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0C6"/>
    <w:rsid w:val="00210215"/>
    <w:rsid w:val="00210B15"/>
    <w:rsid w:val="00212764"/>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60E"/>
    <w:rsid w:val="00272B08"/>
    <w:rsid w:val="00273C60"/>
    <w:rsid w:val="0027782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0F46"/>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BD5"/>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840"/>
    <w:rsid w:val="00481C44"/>
    <w:rsid w:val="00484936"/>
    <w:rsid w:val="00485C89"/>
    <w:rsid w:val="00486BE3"/>
    <w:rsid w:val="004905E4"/>
    <w:rsid w:val="00490A89"/>
    <w:rsid w:val="00490AB4"/>
    <w:rsid w:val="00492F02"/>
    <w:rsid w:val="004939AE"/>
    <w:rsid w:val="00493B9A"/>
    <w:rsid w:val="00494656"/>
    <w:rsid w:val="004A12DF"/>
    <w:rsid w:val="004A17E6"/>
    <w:rsid w:val="004A1BA8"/>
    <w:rsid w:val="004A2E5C"/>
    <w:rsid w:val="004A4B57"/>
    <w:rsid w:val="004A63FA"/>
    <w:rsid w:val="004B0272"/>
    <w:rsid w:val="004B2701"/>
    <w:rsid w:val="004B2E1B"/>
    <w:rsid w:val="004B3AA8"/>
    <w:rsid w:val="004B3E93"/>
    <w:rsid w:val="004B4231"/>
    <w:rsid w:val="004C1FBC"/>
    <w:rsid w:val="004C3F1D"/>
    <w:rsid w:val="004C458D"/>
    <w:rsid w:val="004C7556"/>
    <w:rsid w:val="004C7E8B"/>
    <w:rsid w:val="004C7E9D"/>
    <w:rsid w:val="004C7F67"/>
    <w:rsid w:val="004D076D"/>
    <w:rsid w:val="004D0EF1"/>
    <w:rsid w:val="004D2253"/>
    <w:rsid w:val="004D410C"/>
    <w:rsid w:val="004D4406"/>
    <w:rsid w:val="004D7009"/>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D2B"/>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3E8"/>
    <w:rsid w:val="00573D9E"/>
    <w:rsid w:val="005760F7"/>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227"/>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A15"/>
    <w:rsid w:val="00632182"/>
    <w:rsid w:val="00632AE0"/>
    <w:rsid w:val="00633C17"/>
    <w:rsid w:val="00634D9E"/>
    <w:rsid w:val="00636E3E"/>
    <w:rsid w:val="006370A4"/>
    <w:rsid w:val="006379F7"/>
    <w:rsid w:val="00637E4D"/>
    <w:rsid w:val="00640620"/>
    <w:rsid w:val="00641A1F"/>
    <w:rsid w:val="00645904"/>
    <w:rsid w:val="00651ACB"/>
    <w:rsid w:val="00651C47"/>
    <w:rsid w:val="00652AB2"/>
    <w:rsid w:val="00653FED"/>
    <w:rsid w:val="00654EC0"/>
    <w:rsid w:val="0065525B"/>
    <w:rsid w:val="00655D4F"/>
    <w:rsid w:val="00656D29"/>
    <w:rsid w:val="00661E17"/>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4583"/>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889"/>
    <w:rsid w:val="0073720F"/>
    <w:rsid w:val="00737796"/>
    <w:rsid w:val="0074165C"/>
    <w:rsid w:val="00742C35"/>
    <w:rsid w:val="007432CA"/>
    <w:rsid w:val="007439EB"/>
    <w:rsid w:val="00743CB4"/>
    <w:rsid w:val="00743F0A"/>
    <w:rsid w:val="007444E8"/>
    <w:rsid w:val="0074467C"/>
    <w:rsid w:val="007446F5"/>
    <w:rsid w:val="0074548E"/>
    <w:rsid w:val="00745773"/>
    <w:rsid w:val="00746800"/>
    <w:rsid w:val="007501A8"/>
    <w:rsid w:val="00750D61"/>
    <w:rsid w:val="00750EE1"/>
    <w:rsid w:val="00752B4D"/>
    <w:rsid w:val="00755402"/>
    <w:rsid w:val="00756B26"/>
    <w:rsid w:val="00756EDF"/>
    <w:rsid w:val="007600E3"/>
    <w:rsid w:val="00762486"/>
    <w:rsid w:val="00765C43"/>
    <w:rsid w:val="00765EFB"/>
    <w:rsid w:val="007671CA"/>
    <w:rsid w:val="00767C61"/>
    <w:rsid w:val="0077008A"/>
    <w:rsid w:val="00773C1F"/>
    <w:rsid w:val="00774DA4"/>
    <w:rsid w:val="00776599"/>
    <w:rsid w:val="0078114B"/>
    <w:rsid w:val="00781DD2"/>
    <w:rsid w:val="00783ECF"/>
    <w:rsid w:val="0078413A"/>
    <w:rsid w:val="007959E8"/>
    <w:rsid w:val="00795BE4"/>
    <w:rsid w:val="00795E9C"/>
    <w:rsid w:val="007A0521"/>
    <w:rsid w:val="007A2E12"/>
    <w:rsid w:val="007A3475"/>
    <w:rsid w:val="007A41C8"/>
    <w:rsid w:val="007A54CE"/>
    <w:rsid w:val="007A6FD9"/>
    <w:rsid w:val="007A7FFA"/>
    <w:rsid w:val="007B04EB"/>
    <w:rsid w:val="007B0D4F"/>
    <w:rsid w:val="007B404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0E1"/>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332"/>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281"/>
    <w:rsid w:val="0098364B"/>
    <w:rsid w:val="00984A05"/>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926"/>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1F6C"/>
    <w:rsid w:val="009E4A58"/>
    <w:rsid w:val="009E5A2D"/>
    <w:rsid w:val="009E5AB2"/>
    <w:rsid w:val="009E5DA7"/>
    <w:rsid w:val="009E6219"/>
    <w:rsid w:val="009F03B3"/>
    <w:rsid w:val="00A0096C"/>
    <w:rsid w:val="00A01757"/>
    <w:rsid w:val="00A028C0"/>
    <w:rsid w:val="00A02BAE"/>
    <w:rsid w:val="00A06A6B"/>
    <w:rsid w:val="00A07E47"/>
    <w:rsid w:val="00A129D0"/>
    <w:rsid w:val="00A12C33"/>
    <w:rsid w:val="00A138BA"/>
    <w:rsid w:val="00A14C8E"/>
    <w:rsid w:val="00A153D9"/>
    <w:rsid w:val="00A155FD"/>
    <w:rsid w:val="00A15F09"/>
    <w:rsid w:val="00A169B6"/>
    <w:rsid w:val="00A2271D"/>
    <w:rsid w:val="00A237D5"/>
    <w:rsid w:val="00A30EFC"/>
    <w:rsid w:val="00A31984"/>
    <w:rsid w:val="00A32D73"/>
    <w:rsid w:val="00A3367B"/>
    <w:rsid w:val="00A3597D"/>
    <w:rsid w:val="00A36DD1"/>
    <w:rsid w:val="00A37D3F"/>
    <w:rsid w:val="00A4006C"/>
    <w:rsid w:val="00A40091"/>
    <w:rsid w:val="00A4030F"/>
    <w:rsid w:val="00A41C79"/>
    <w:rsid w:val="00A41CB5"/>
    <w:rsid w:val="00A42CDF"/>
    <w:rsid w:val="00A43E1B"/>
    <w:rsid w:val="00A4452E"/>
    <w:rsid w:val="00A4472C"/>
    <w:rsid w:val="00A44E69"/>
    <w:rsid w:val="00A4661E"/>
    <w:rsid w:val="00A55B58"/>
    <w:rsid w:val="00A55BD6"/>
    <w:rsid w:val="00A55D50"/>
    <w:rsid w:val="00A57142"/>
    <w:rsid w:val="00A648CD"/>
    <w:rsid w:val="00A65263"/>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CDA"/>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889"/>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6E2"/>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3AE6"/>
    <w:rsid w:val="00D06AB1"/>
    <w:rsid w:val="00D072ED"/>
    <w:rsid w:val="00D07A16"/>
    <w:rsid w:val="00D1067E"/>
    <w:rsid w:val="00D10F50"/>
    <w:rsid w:val="00D11272"/>
    <w:rsid w:val="00D126F5"/>
    <w:rsid w:val="00D1489E"/>
    <w:rsid w:val="00D20737"/>
    <w:rsid w:val="00D21E81"/>
    <w:rsid w:val="00D223DE"/>
    <w:rsid w:val="00D25E37"/>
    <w:rsid w:val="00D2661A"/>
    <w:rsid w:val="00D26661"/>
    <w:rsid w:val="00D27582"/>
    <w:rsid w:val="00D27EC4"/>
    <w:rsid w:val="00D32719"/>
    <w:rsid w:val="00D33333"/>
    <w:rsid w:val="00D33457"/>
    <w:rsid w:val="00D352A2"/>
    <w:rsid w:val="00D36FB4"/>
    <w:rsid w:val="00D40443"/>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CD4"/>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B07"/>
    <w:rsid w:val="00DE6E81"/>
    <w:rsid w:val="00DE703F"/>
    <w:rsid w:val="00DE7526"/>
    <w:rsid w:val="00DE7595"/>
    <w:rsid w:val="00DF1961"/>
    <w:rsid w:val="00DF44DE"/>
    <w:rsid w:val="00DF5F11"/>
    <w:rsid w:val="00E01138"/>
    <w:rsid w:val="00E01DEC"/>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05C"/>
    <w:rsid w:val="00E44A83"/>
    <w:rsid w:val="00E502C1"/>
    <w:rsid w:val="00E502DD"/>
    <w:rsid w:val="00E50D3A"/>
    <w:rsid w:val="00E51387"/>
    <w:rsid w:val="00E51E68"/>
    <w:rsid w:val="00E52EFD"/>
    <w:rsid w:val="00E5408A"/>
    <w:rsid w:val="00E54491"/>
    <w:rsid w:val="00E56800"/>
    <w:rsid w:val="00E607E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7F1"/>
    <w:rsid w:val="00EA58D1"/>
    <w:rsid w:val="00EA61BC"/>
    <w:rsid w:val="00EA681A"/>
    <w:rsid w:val="00EA735B"/>
    <w:rsid w:val="00EB17DE"/>
    <w:rsid w:val="00EB1E69"/>
    <w:rsid w:val="00EB2086"/>
    <w:rsid w:val="00EB5EDF"/>
    <w:rsid w:val="00EB60FE"/>
    <w:rsid w:val="00EB74DB"/>
    <w:rsid w:val="00EC19B8"/>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512"/>
    <w:rsid w:val="00F05304"/>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13D"/>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439"/>
    <w:rsid w:val="00FE3901"/>
    <w:rsid w:val="00FE39D3"/>
    <w:rsid w:val="00FE4BCE"/>
    <w:rsid w:val="00FE54AE"/>
    <w:rsid w:val="00FE576A"/>
    <w:rsid w:val="00FE7E79"/>
    <w:rsid w:val="00FF02C3"/>
    <w:rsid w:val="00FF3E7D"/>
    <w:rsid w:val="00FF5B99"/>
    <w:rsid w:val="00FF730C"/>
    <w:rsid w:val="00FF73F4"/>
    <w:rsid w:val="00FF7CE4"/>
    <w:rsid w:val="00FF7E39"/>
    <w:rsid w:val="052B1173"/>
    <w:rsid w:val="06652463"/>
    <w:rsid w:val="06F07F7E"/>
    <w:rsid w:val="0BDE1174"/>
    <w:rsid w:val="0C4D4AED"/>
    <w:rsid w:val="0D671999"/>
    <w:rsid w:val="0E370B89"/>
    <w:rsid w:val="0F713C26"/>
    <w:rsid w:val="10ED56BF"/>
    <w:rsid w:val="1CAE2016"/>
    <w:rsid w:val="1D964292"/>
    <w:rsid w:val="262215A4"/>
    <w:rsid w:val="2BBA23B5"/>
    <w:rsid w:val="2BFD6B16"/>
    <w:rsid w:val="2F0130C4"/>
    <w:rsid w:val="31154399"/>
    <w:rsid w:val="37FF59C4"/>
    <w:rsid w:val="3B8C19D6"/>
    <w:rsid w:val="3DF524DC"/>
    <w:rsid w:val="412C2AE4"/>
    <w:rsid w:val="43C52E38"/>
    <w:rsid w:val="46CC4C1A"/>
    <w:rsid w:val="474D219A"/>
    <w:rsid w:val="4A037596"/>
    <w:rsid w:val="4C602A7D"/>
    <w:rsid w:val="4D7F3E17"/>
    <w:rsid w:val="51E35834"/>
    <w:rsid w:val="598E4D59"/>
    <w:rsid w:val="5C23609E"/>
    <w:rsid w:val="5DCF7A63"/>
    <w:rsid w:val="5FF4730D"/>
    <w:rsid w:val="60397415"/>
    <w:rsid w:val="61B472C7"/>
    <w:rsid w:val="63B55005"/>
    <w:rsid w:val="6A9A6D03"/>
    <w:rsid w:val="714A76D4"/>
    <w:rsid w:val="73DA26FA"/>
    <w:rsid w:val="75323633"/>
    <w:rsid w:val="79F923AB"/>
    <w:rsid w:val="7F2C41AA"/>
    <w:rsid w:val="7FE9630A"/>
    <w:rsid w:val="EBFDBF6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8"/>
    <w:qFormat/>
    <w:uiPriority w:val="99"/>
    <w:rPr>
      <w:rFonts w:ascii="Times New Roman" w:hAnsi="Times New Roman" w:eastAsia="宋体" w:cs="Times New Roman"/>
      <w:sz w:val="18"/>
      <w:szCs w:val="18"/>
    </w:rPr>
  </w:style>
  <w:style w:type="character" w:customStyle="1" w:styleId="45">
    <w:name w:val="页脚 Char"/>
    <w:link w:val="17"/>
    <w:qFormat/>
    <w:uiPriority w:val="99"/>
    <w:rPr>
      <w:rFonts w:ascii="宋体" w:hAnsi="Times New Roman" w:eastAsia="宋体" w:cs="Times New Roman"/>
      <w:sz w:val="18"/>
      <w:szCs w:val="18"/>
    </w:rPr>
  </w:style>
  <w:style w:type="character" w:customStyle="1" w:styleId="46">
    <w:name w:val="批注框文本 Char"/>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ind w:left="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E2EAAD12F9343098BCCEECCC7717E02"/>
        <w:style w:val=""/>
        <w:category>
          <w:name w:val="常规"/>
          <w:gallery w:val="placeholder"/>
        </w:category>
        <w:types>
          <w:type w:val="bbPlcHdr"/>
        </w:types>
        <w:behaviors>
          <w:behavior w:val="content"/>
        </w:behaviors>
        <w:description w:val=""/>
        <w:guid w:val="{637B4C8D-09FB-4A8C-82F3-123C00D341CC}"/>
      </w:docPartPr>
      <w:docPartBody>
        <w:p>
          <w:pPr>
            <w:pStyle w:val="5"/>
          </w:pPr>
          <w:r>
            <w:rPr>
              <w:rStyle w:val="4"/>
              <w:rFonts w:hint="eastAsia"/>
            </w:rPr>
            <w:t>单击或点击此处输入文字。</w:t>
          </w:r>
        </w:p>
      </w:docPartBody>
    </w:docPart>
    <w:docPart>
      <w:docPartPr>
        <w:name w:val="311E5704C57146488109566B965EA9AF"/>
        <w:style w:val=""/>
        <w:category>
          <w:name w:val="常规"/>
          <w:gallery w:val="placeholder"/>
        </w:category>
        <w:types>
          <w:type w:val="bbPlcHdr"/>
        </w:types>
        <w:behaviors>
          <w:behavior w:val="content"/>
        </w:behaviors>
        <w:description w:val=""/>
        <w:guid w:val="{4724EB86-B5F2-44AB-8BCB-44F0481B93B7}"/>
      </w:docPartPr>
      <w:docPartBody>
        <w:p>
          <w:pPr>
            <w:pStyle w:val="6"/>
          </w:pPr>
          <w:r>
            <w:rPr>
              <w:rStyle w:val="4"/>
              <w:rFonts w:hint="eastAsia"/>
            </w:rPr>
            <w:t>选择一项。</w:t>
          </w:r>
        </w:p>
      </w:docPartBody>
    </w:docPart>
    <w:docPart>
      <w:docPartPr>
        <w:name w:val="CD21D23A7AEB46998B5F9BD05EB39338"/>
        <w:style w:val=""/>
        <w:category>
          <w:name w:val="常规"/>
          <w:gallery w:val="placeholder"/>
        </w:category>
        <w:types>
          <w:type w:val="bbPlcHdr"/>
        </w:types>
        <w:behaviors>
          <w:behavior w:val="content"/>
        </w:behaviors>
        <w:description w:val=""/>
        <w:guid w:val="{8F9C1EBE-4080-4550-A9AF-4813A51476C9}"/>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永中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D50DE1"/>
    <w:rsid w:val="000B0F66"/>
    <w:rsid w:val="001D76B2"/>
    <w:rsid w:val="0087498F"/>
    <w:rsid w:val="008B66A5"/>
    <w:rsid w:val="009E18B1"/>
    <w:rsid w:val="00B97144"/>
    <w:rsid w:val="00CD7DB8"/>
    <w:rsid w:val="00D50DE1"/>
    <w:rsid w:val="00D5796D"/>
    <w:rsid w:val="00E344E0"/>
    <w:rsid w:val="00F92A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E2EAAD12F9343098BCCEECCC7717E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11E5704C57146488109566B965EA9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D21D23A7AEB46998B5F9BD05EB3933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4098</Words>
  <Characters>5010</Characters>
  <Lines>41</Lines>
  <Paragraphs>11</Paragraphs>
  <TotalTime>0</TotalTime>
  <ScaleCrop>false</ScaleCrop>
  <LinksUpToDate>false</LinksUpToDate>
  <CharactersWithSpaces>5259</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2024-11-04T11:50:00Z</dcterms:created>
  <dc:creator>gagawan</dc:creator>
  <dc:description>&lt;config cover="true" show_menu="true" version="1.0.0" doctype="SDKXY"&gt;_x000d_
&lt;/config&gt;</dc:description>
  <cp:lastModifiedBy>user</cp:lastModifiedBy>
  <cp:lastPrinted>2024-08-22T10:40:00Z</cp:lastPrinted>
  <dcterms:modified xsi:type="dcterms:W3CDTF">2024-11-19T10:49:33Z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2052-11.8.2.9695</vt:lpwstr>
  </property>
  <property fmtid="{D5CDD505-2E9C-101B-9397-08002B2CF9AE}" pid="15" name="ICV">
    <vt:lpwstr>EE38009306EC4AC2A38E56AF2959DC75_13</vt:lpwstr>
  </property>
</Properties>
</file>